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59" w:rsidRPr="00714459" w:rsidRDefault="00714459" w:rsidP="00714459">
      <w:pPr>
        <w:spacing w:line="360" w:lineRule="auto"/>
        <w:rPr>
          <w:b/>
        </w:rPr>
      </w:pPr>
      <w:r>
        <w:rPr>
          <w:b/>
        </w:rPr>
        <w:t>USE OF</w:t>
      </w:r>
      <w:r w:rsidRPr="005B2F82">
        <w:rPr>
          <w:b/>
        </w:rPr>
        <w:t xml:space="preserve"> MIDAZOLAM</w:t>
      </w:r>
      <w:r>
        <w:rPr>
          <w:b/>
        </w:rPr>
        <w:t xml:space="preserve"> MIXTURE</w:t>
      </w:r>
      <w:r w:rsidRPr="005B2F82">
        <w:rPr>
          <w:b/>
        </w:rPr>
        <w:t xml:space="preserve"> </w:t>
      </w:r>
      <w:r>
        <w:rPr>
          <w:b/>
        </w:rPr>
        <w:t xml:space="preserve">AS </w:t>
      </w:r>
      <w:r w:rsidRPr="005B2F82">
        <w:rPr>
          <w:b/>
        </w:rPr>
        <w:t xml:space="preserve">PREMEDICATION </w:t>
      </w:r>
      <w:r>
        <w:rPr>
          <w:b/>
        </w:rPr>
        <w:t>FOR</w:t>
      </w:r>
      <w:r w:rsidRPr="005B2F82">
        <w:rPr>
          <w:b/>
        </w:rPr>
        <w:t xml:space="preserve"> </w:t>
      </w:r>
      <w:r>
        <w:rPr>
          <w:b/>
        </w:rPr>
        <w:t xml:space="preserve">CHILDREN UNDERGOING </w:t>
      </w:r>
      <w:r w:rsidRPr="005B2F82">
        <w:rPr>
          <w:b/>
        </w:rPr>
        <w:t>GENERAL AN</w:t>
      </w:r>
      <w:r>
        <w:rPr>
          <w:b/>
        </w:rPr>
        <w:t>ESTHESI</w:t>
      </w:r>
      <w:r w:rsidRPr="005B2F82">
        <w:rPr>
          <w:b/>
        </w:rPr>
        <w:t xml:space="preserve">A </w:t>
      </w:r>
      <w:r>
        <w:rPr>
          <w:b/>
        </w:rPr>
        <w:t>FOR DENTAL CARE</w:t>
      </w:r>
    </w:p>
    <w:p w:rsidR="005202F4" w:rsidRDefault="005202F4" w:rsidP="005202F4">
      <w:pPr>
        <w:spacing w:line="276" w:lineRule="auto"/>
        <w:jc w:val="both"/>
        <w:rPr>
          <w:lang w:val="tr-TR"/>
        </w:rPr>
      </w:pPr>
    </w:p>
    <w:p w:rsidR="005202F4" w:rsidRDefault="005202F4" w:rsidP="005202F4">
      <w:pPr>
        <w:spacing w:line="276" w:lineRule="auto"/>
        <w:jc w:val="both"/>
        <w:rPr>
          <w:lang w:val="tr-TR"/>
        </w:rPr>
      </w:pPr>
      <w:proofErr w:type="spellStart"/>
      <w:r>
        <w:rPr>
          <w:b/>
          <w:lang w:val="tr-TR"/>
        </w:rPr>
        <w:t>Running</w:t>
      </w:r>
      <w:proofErr w:type="spellEnd"/>
      <w:r>
        <w:rPr>
          <w:b/>
          <w:lang w:val="tr-TR"/>
        </w:rPr>
        <w:t>–</w:t>
      </w:r>
      <w:proofErr w:type="spellStart"/>
      <w:r>
        <w:rPr>
          <w:b/>
          <w:lang w:val="tr-TR"/>
        </w:rPr>
        <w:t>title</w:t>
      </w:r>
      <w:proofErr w:type="spellEnd"/>
      <w:r>
        <w:rPr>
          <w:b/>
          <w:lang w:val="tr-TR"/>
        </w:rPr>
        <w:t>:</w:t>
      </w:r>
      <w:r>
        <w:rPr>
          <w:lang w:val="tr-TR"/>
        </w:rPr>
        <w:t xml:space="preserve"> </w:t>
      </w:r>
      <w:r>
        <w:rPr>
          <w:b/>
        </w:rPr>
        <w:t>Midazolam Premedication for Children</w:t>
      </w:r>
    </w:p>
    <w:p w:rsidR="005202F4" w:rsidRDefault="005202F4" w:rsidP="005202F4">
      <w:pPr>
        <w:spacing w:line="276" w:lineRule="auto"/>
        <w:jc w:val="both"/>
        <w:rPr>
          <w:lang w:val="tr-TR"/>
        </w:rPr>
      </w:pPr>
    </w:p>
    <w:p w:rsidR="005202F4" w:rsidRDefault="005202F4" w:rsidP="005202F4">
      <w:pPr>
        <w:spacing w:line="276" w:lineRule="auto"/>
        <w:jc w:val="both"/>
        <w:rPr>
          <w:b/>
          <w:lang w:val="tr-TR"/>
        </w:rPr>
      </w:pPr>
    </w:p>
    <w:p w:rsidR="005202F4" w:rsidRDefault="005202F4" w:rsidP="005202F4">
      <w:pPr>
        <w:spacing w:line="276" w:lineRule="auto"/>
        <w:jc w:val="both"/>
        <w:rPr>
          <w:b/>
          <w:lang w:val="tr-TR"/>
        </w:rPr>
      </w:pPr>
      <w:r>
        <w:rPr>
          <w:b/>
          <w:lang w:val="tr-TR"/>
        </w:rPr>
        <w:t>AUTHORS</w:t>
      </w:r>
    </w:p>
    <w:p w:rsidR="005202F4" w:rsidRDefault="005202F4" w:rsidP="005202F4">
      <w:pPr>
        <w:spacing w:line="360" w:lineRule="auto"/>
        <w:jc w:val="both"/>
        <w:rPr>
          <w:lang w:val="tr-TR"/>
        </w:rPr>
      </w:pPr>
      <w:r>
        <w:rPr>
          <w:lang w:val="tr-TR"/>
        </w:rPr>
        <w:t>1-</w:t>
      </w:r>
      <w:r>
        <w:rPr>
          <w:lang w:val="tr-TR"/>
        </w:rPr>
        <w:t xml:space="preserve">Ozgul </w:t>
      </w:r>
      <w:proofErr w:type="spellStart"/>
      <w:r>
        <w:rPr>
          <w:lang w:val="tr-TR"/>
        </w:rPr>
        <w:t>Baygin</w:t>
      </w:r>
      <w:proofErr w:type="spellEnd"/>
      <w:r>
        <w:rPr>
          <w:lang w:val="tr-TR"/>
        </w:rPr>
        <w:t xml:space="preserve"> (</w:t>
      </w:r>
      <w:proofErr w:type="spellStart"/>
      <w:r>
        <w:rPr>
          <w:lang w:val="tr-TR"/>
        </w:rPr>
        <w:t>Assoc</w:t>
      </w:r>
      <w:proofErr w:type="spellEnd"/>
      <w:r>
        <w:rPr>
          <w:lang w:val="tr-TR"/>
        </w:rPr>
        <w:t xml:space="preserve">. </w:t>
      </w:r>
      <w:proofErr w:type="spellStart"/>
      <w:r>
        <w:rPr>
          <w:lang w:val="tr-TR"/>
        </w:rPr>
        <w:t>Prof</w:t>
      </w:r>
      <w:proofErr w:type="spellEnd"/>
      <w:r>
        <w:rPr>
          <w:lang w:val="tr-TR"/>
        </w:rPr>
        <w:t>)</w:t>
      </w:r>
    </w:p>
    <w:p w:rsidR="005202F4" w:rsidRDefault="005202F4" w:rsidP="005202F4">
      <w:pPr>
        <w:spacing w:line="360" w:lineRule="auto"/>
        <w:jc w:val="both"/>
        <w:rPr>
          <w:lang w:val="tr-TR"/>
        </w:rPr>
      </w:pPr>
      <w:r>
        <w:rPr>
          <w:lang w:val="tr-TR"/>
        </w:rPr>
        <w:t xml:space="preserve">Karadeniz Technical </w:t>
      </w:r>
      <w:proofErr w:type="spellStart"/>
      <w:r>
        <w:rPr>
          <w:lang w:val="tr-TR"/>
        </w:rPr>
        <w:t>University</w:t>
      </w:r>
      <w:proofErr w:type="spellEnd"/>
      <w:r>
        <w:rPr>
          <w:lang w:val="tr-TR"/>
        </w:rPr>
        <w:t xml:space="preserve">, </w:t>
      </w:r>
      <w:proofErr w:type="spellStart"/>
      <w:r>
        <w:rPr>
          <w:lang w:val="tr-TR"/>
        </w:rPr>
        <w:t>Faculty</w:t>
      </w:r>
      <w:proofErr w:type="spellEnd"/>
      <w:r>
        <w:rPr>
          <w:lang w:val="tr-TR"/>
        </w:rPr>
        <w:t xml:space="preserve"> of </w:t>
      </w:r>
      <w:proofErr w:type="spellStart"/>
      <w:r>
        <w:rPr>
          <w:lang w:val="tr-TR"/>
        </w:rPr>
        <w:t>Dentistry</w:t>
      </w:r>
      <w:proofErr w:type="spellEnd"/>
      <w:r>
        <w:rPr>
          <w:lang w:val="tr-TR"/>
        </w:rPr>
        <w:t xml:space="preserve">, </w:t>
      </w:r>
      <w:proofErr w:type="spellStart"/>
      <w:r>
        <w:rPr>
          <w:lang w:val="tr-TR"/>
        </w:rPr>
        <w:t>Department</w:t>
      </w:r>
      <w:proofErr w:type="spellEnd"/>
      <w:r>
        <w:rPr>
          <w:lang w:val="tr-TR"/>
        </w:rPr>
        <w:t xml:space="preserve"> of </w:t>
      </w:r>
      <w:proofErr w:type="spellStart"/>
      <w:r>
        <w:rPr>
          <w:lang w:val="tr-TR"/>
        </w:rPr>
        <w:t>Pediatric</w:t>
      </w:r>
      <w:proofErr w:type="spellEnd"/>
      <w:r>
        <w:rPr>
          <w:lang w:val="tr-TR"/>
        </w:rPr>
        <w:t xml:space="preserve"> </w:t>
      </w:r>
      <w:proofErr w:type="spellStart"/>
      <w:r>
        <w:rPr>
          <w:lang w:val="tr-TR"/>
        </w:rPr>
        <w:t>Dentistry</w:t>
      </w:r>
      <w:proofErr w:type="spellEnd"/>
      <w:r>
        <w:rPr>
          <w:lang w:val="tr-TR"/>
        </w:rPr>
        <w:t>, Trabzon, TURKEY</w:t>
      </w:r>
    </w:p>
    <w:p w:rsidR="005202F4" w:rsidRDefault="005202F4" w:rsidP="005202F4">
      <w:pPr>
        <w:spacing w:line="360" w:lineRule="auto"/>
        <w:jc w:val="both"/>
        <w:rPr>
          <w:lang w:val="tr-TR"/>
        </w:rPr>
      </w:pPr>
      <w:r>
        <w:rPr>
          <w:lang w:val="tr-TR"/>
        </w:rPr>
        <w:t>2-</w:t>
      </w:r>
      <w:r>
        <w:rPr>
          <w:lang w:val="tr-TR"/>
        </w:rPr>
        <w:t xml:space="preserve">Tamer </w:t>
      </w:r>
      <w:proofErr w:type="spellStart"/>
      <w:r>
        <w:rPr>
          <w:lang w:val="tr-TR"/>
        </w:rPr>
        <w:t>Tuzuner</w:t>
      </w:r>
      <w:proofErr w:type="spellEnd"/>
      <w:r>
        <w:rPr>
          <w:lang w:val="tr-TR"/>
        </w:rPr>
        <w:t xml:space="preserve"> (</w:t>
      </w:r>
      <w:proofErr w:type="spellStart"/>
      <w:r>
        <w:rPr>
          <w:lang w:val="tr-TR"/>
        </w:rPr>
        <w:t>Assoc</w:t>
      </w:r>
      <w:proofErr w:type="spellEnd"/>
      <w:r>
        <w:rPr>
          <w:lang w:val="tr-TR"/>
        </w:rPr>
        <w:t xml:space="preserve">. </w:t>
      </w:r>
      <w:proofErr w:type="spellStart"/>
      <w:r>
        <w:rPr>
          <w:lang w:val="tr-TR"/>
        </w:rPr>
        <w:t>Prof</w:t>
      </w:r>
      <w:proofErr w:type="spellEnd"/>
      <w:r>
        <w:rPr>
          <w:lang w:val="tr-TR"/>
        </w:rPr>
        <w:t>)</w:t>
      </w:r>
    </w:p>
    <w:p w:rsidR="005202F4" w:rsidRDefault="005202F4" w:rsidP="005202F4">
      <w:pPr>
        <w:spacing w:line="360" w:lineRule="auto"/>
        <w:jc w:val="both"/>
        <w:rPr>
          <w:lang w:val="tr-TR"/>
        </w:rPr>
      </w:pPr>
      <w:r>
        <w:rPr>
          <w:lang w:val="tr-TR"/>
        </w:rPr>
        <w:t xml:space="preserve">Karadeniz Technical </w:t>
      </w:r>
      <w:proofErr w:type="spellStart"/>
      <w:r>
        <w:rPr>
          <w:lang w:val="tr-TR"/>
        </w:rPr>
        <w:t>University</w:t>
      </w:r>
      <w:proofErr w:type="spellEnd"/>
      <w:r>
        <w:rPr>
          <w:lang w:val="tr-TR"/>
        </w:rPr>
        <w:t xml:space="preserve">, </w:t>
      </w:r>
      <w:proofErr w:type="spellStart"/>
      <w:r>
        <w:rPr>
          <w:lang w:val="tr-TR"/>
        </w:rPr>
        <w:t>Faculty</w:t>
      </w:r>
      <w:proofErr w:type="spellEnd"/>
      <w:r>
        <w:rPr>
          <w:lang w:val="tr-TR"/>
        </w:rPr>
        <w:t xml:space="preserve"> of </w:t>
      </w:r>
      <w:proofErr w:type="spellStart"/>
      <w:r>
        <w:rPr>
          <w:lang w:val="tr-TR"/>
        </w:rPr>
        <w:t>Dentistry</w:t>
      </w:r>
      <w:proofErr w:type="spellEnd"/>
      <w:r>
        <w:rPr>
          <w:lang w:val="tr-TR"/>
        </w:rPr>
        <w:t xml:space="preserve">, </w:t>
      </w:r>
      <w:proofErr w:type="spellStart"/>
      <w:r>
        <w:rPr>
          <w:lang w:val="tr-TR"/>
        </w:rPr>
        <w:t>Department</w:t>
      </w:r>
      <w:proofErr w:type="spellEnd"/>
      <w:r>
        <w:rPr>
          <w:lang w:val="tr-TR"/>
        </w:rPr>
        <w:t xml:space="preserve"> of </w:t>
      </w:r>
      <w:proofErr w:type="spellStart"/>
      <w:r>
        <w:rPr>
          <w:lang w:val="tr-TR"/>
        </w:rPr>
        <w:t>Pediatric</w:t>
      </w:r>
      <w:proofErr w:type="spellEnd"/>
      <w:r>
        <w:rPr>
          <w:lang w:val="tr-TR"/>
        </w:rPr>
        <w:t xml:space="preserve"> </w:t>
      </w:r>
      <w:proofErr w:type="spellStart"/>
      <w:r>
        <w:rPr>
          <w:lang w:val="tr-TR"/>
        </w:rPr>
        <w:t>Dentistry</w:t>
      </w:r>
      <w:proofErr w:type="spellEnd"/>
      <w:r>
        <w:rPr>
          <w:lang w:val="tr-TR"/>
        </w:rPr>
        <w:t>, Trabzon, TURKEY</w:t>
      </w:r>
    </w:p>
    <w:p w:rsidR="005202F4" w:rsidRDefault="005202F4" w:rsidP="005202F4">
      <w:pPr>
        <w:spacing w:line="360" w:lineRule="auto"/>
        <w:jc w:val="both"/>
      </w:pPr>
      <w:r>
        <w:t xml:space="preserve">3-Ipek </w:t>
      </w:r>
      <w:proofErr w:type="spellStart"/>
      <w:r>
        <w:t>Erdemir</w:t>
      </w:r>
      <w:proofErr w:type="spellEnd"/>
      <w:r>
        <w:t xml:space="preserve"> (PhD)</w:t>
      </w:r>
    </w:p>
    <w:p w:rsidR="005202F4" w:rsidRDefault="005202F4" w:rsidP="005202F4">
      <w:pPr>
        <w:spacing w:line="360" w:lineRule="auto"/>
        <w:jc w:val="both"/>
      </w:pPr>
      <w:proofErr w:type="spellStart"/>
      <w:r>
        <w:t>Recep</w:t>
      </w:r>
      <w:proofErr w:type="spellEnd"/>
      <w:r>
        <w:t xml:space="preserve"> </w:t>
      </w:r>
      <w:proofErr w:type="spellStart"/>
      <w:r>
        <w:t>Tayyip</w:t>
      </w:r>
      <w:proofErr w:type="spellEnd"/>
      <w:r>
        <w:t xml:space="preserve"> Erdogan University, Faculty of Dentistry, Department of Pediatric Dentistry, </w:t>
      </w:r>
      <w:proofErr w:type="spellStart"/>
      <w:r>
        <w:t>Rize</w:t>
      </w:r>
      <w:proofErr w:type="spellEnd"/>
      <w:r>
        <w:t xml:space="preserve">, </w:t>
      </w:r>
      <w:r>
        <w:rPr>
          <w:lang w:val="tr-TR"/>
        </w:rPr>
        <w:t>TURKEY</w:t>
      </w:r>
    </w:p>
    <w:p w:rsidR="005202F4" w:rsidRDefault="005202F4" w:rsidP="005202F4">
      <w:pPr>
        <w:spacing w:line="360" w:lineRule="auto"/>
        <w:jc w:val="both"/>
      </w:pPr>
      <w:r>
        <w:rPr>
          <w:lang w:val="tr-TR"/>
        </w:rPr>
        <w:t>4-</w:t>
      </w:r>
      <w:r>
        <w:rPr>
          <w:lang w:val="tr-TR"/>
        </w:rPr>
        <w:t xml:space="preserve">Nagehan </w:t>
      </w:r>
      <w:proofErr w:type="spellStart"/>
      <w:r>
        <w:rPr>
          <w:lang w:val="tr-TR"/>
        </w:rPr>
        <w:t>Yilmaz</w:t>
      </w:r>
      <w:proofErr w:type="spellEnd"/>
      <w:r>
        <w:rPr>
          <w:lang w:val="tr-TR"/>
        </w:rPr>
        <w:t xml:space="preserve"> (</w:t>
      </w:r>
      <w:proofErr w:type="spellStart"/>
      <w:r>
        <w:rPr>
          <w:lang w:val="tr-TR"/>
        </w:rPr>
        <w:t>Research</w:t>
      </w:r>
      <w:proofErr w:type="spellEnd"/>
      <w:r>
        <w:rPr>
          <w:lang w:val="tr-TR"/>
        </w:rPr>
        <w:t xml:space="preserve"> </w:t>
      </w:r>
      <w:proofErr w:type="spellStart"/>
      <w:r>
        <w:rPr>
          <w:lang w:val="tr-TR"/>
        </w:rPr>
        <w:t>Assistant</w:t>
      </w:r>
      <w:proofErr w:type="spellEnd"/>
      <w:r>
        <w:rPr>
          <w:lang w:val="tr-TR"/>
        </w:rPr>
        <w:t>)</w:t>
      </w:r>
    </w:p>
    <w:p w:rsidR="005202F4" w:rsidRDefault="005202F4" w:rsidP="005202F4">
      <w:pPr>
        <w:spacing w:line="360" w:lineRule="auto"/>
        <w:jc w:val="both"/>
        <w:rPr>
          <w:lang w:val="tr-TR"/>
        </w:rPr>
      </w:pPr>
      <w:r>
        <w:rPr>
          <w:lang w:val="tr-TR"/>
        </w:rPr>
        <w:t xml:space="preserve">Karadeniz Technical </w:t>
      </w:r>
      <w:proofErr w:type="spellStart"/>
      <w:r>
        <w:rPr>
          <w:lang w:val="tr-TR"/>
        </w:rPr>
        <w:t>University</w:t>
      </w:r>
      <w:proofErr w:type="spellEnd"/>
      <w:r>
        <w:rPr>
          <w:lang w:val="tr-TR"/>
        </w:rPr>
        <w:t xml:space="preserve">, </w:t>
      </w:r>
      <w:proofErr w:type="spellStart"/>
      <w:r>
        <w:rPr>
          <w:lang w:val="tr-TR"/>
        </w:rPr>
        <w:t>Faculty</w:t>
      </w:r>
      <w:proofErr w:type="spellEnd"/>
      <w:r>
        <w:rPr>
          <w:lang w:val="tr-TR"/>
        </w:rPr>
        <w:t xml:space="preserve"> of </w:t>
      </w:r>
      <w:proofErr w:type="spellStart"/>
      <w:r>
        <w:rPr>
          <w:lang w:val="tr-TR"/>
        </w:rPr>
        <w:t>Dentistry</w:t>
      </w:r>
      <w:proofErr w:type="spellEnd"/>
      <w:r>
        <w:rPr>
          <w:lang w:val="tr-TR"/>
        </w:rPr>
        <w:t xml:space="preserve">, </w:t>
      </w:r>
      <w:proofErr w:type="spellStart"/>
      <w:r>
        <w:rPr>
          <w:lang w:val="tr-TR"/>
        </w:rPr>
        <w:t>Department</w:t>
      </w:r>
      <w:proofErr w:type="spellEnd"/>
      <w:r>
        <w:rPr>
          <w:lang w:val="tr-TR"/>
        </w:rPr>
        <w:t xml:space="preserve"> of </w:t>
      </w:r>
      <w:proofErr w:type="spellStart"/>
      <w:r>
        <w:rPr>
          <w:lang w:val="tr-TR"/>
        </w:rPr>
        <w:t>Pediatric</w:t>
      </w:r>
      <w:proofErr w:type="spellEnd"/>
      <w:r>
        <w:rPr>
          <w:lang w:val="tr-TR"/>
        </w:rPr>
        <w:t xml:space="preserve"> </w:t>
      </w:r>
      <w:proofErr w:type="spellStart"/>
      <w:r>
        <w:rPr>
          <w:lang w:val="tr-TR"/>
        </w:rPr>
        <w:t>Dentistry</w:t>
      </w:r>
      <w:proofErr w:type="spellEnd"/>
      <w:r>
        <w:rPr>
          <w:lang w:val="tr-TR"/>
        </w:rPr>
        <w:t>, Trabzon, TURKEY</w:t>
      </w:r>
    </w:p>
    <w:p w:rsidR="005202F4" w:rsidRDefault="005202F4" w:rsidP="005202F4">
      <w:pPr>
        <w:spacing w:line="360" w:lineRule="auto"/>
        <w:jc w:val="both"/>
        <w:rPr>
          <w:lang w:val="tr-TR"/>
        </w:rPr>
      </w:pPr>
    </w:p>
    <w:p w:rsidR="005202F4" w:rsidRDefault="005202F4" w:rsidP="005202F4">
      <w:pPr>
        <w:spacing w:line="276" w:lineRule="auto"/>
        <w:jc w:val="both"/>
        <w:rPr>
          <w:lang w:val="tr-TR"/>
        </w:rPr>
      </w:pPr>
    </w:p>
    <w:p w:rsidR="005202F4" w:rsidRDefault="005202F4" w:rsidP="005202F4">
      <w:pPr>
        <w:spacing w:line="276" w:lineRule="auto"/>
        <w:jc w:val="both"/>
        <w:rPr>
          <w:lang w:val="tr-TR"/>
        </w:rPr>
      </w:pPr>
    </w:p>
    <w:p w:rsidR="005202F4" w:rsidRDefault="005202F4" w:rsidP="005202F4">
      <w:pPr>
        <w:spacing w:line="276" w:lineRule="auto"/>
        <w:jc w:val="both"/>
        <w:rPr>
          <w:b/>
          <w:lang w:val="tr-TR"/>
        </w:rPr>
      </w:pPr>
    </w:p>
    <w:p w:rsidR="005202F4" w:rsidRDefault="005202F4" w:rsidP="005202F4">
      <w:pPr>
        <w:spacing w:line="276" w:lineRule="auto"/>
        <w:jc w:val="both"/>
        <w:rPr>
          <w:b/>
          <w:lang w:val="tr-TR"/>
        </w:rPr>
      </w:pPr>
    </w:p>
    <w:p w:rsidR="005202F4" w:rsidRDefault="005202F4" w:rsidP="005202F4">
      <w:pPr>
        <w:spacing w:line="276" w:lineRule="auto"/>
        <w:jc w:val="both"/>
        <w:rPr>
          <w:b/>
          <w:lang w:val="tr-TR"/>
        </w:rPr>
      </w:pPr>
      <w:proofErr w:type="spellStart"/>
      <w:r>
        <w:rPr>
          <w:b/>
          <w:lang w:val="tr-TR"/>
        </w:rPr>
        <w:t>Correspondence</w:t>
      </w:r>
      <w:proofErr w:type="spellEnd"/>
      <w:r>
        <w:rPr>
          <w:b/>
          <w:lang w:val="tr-TR"/>
        </w:rPr>
        <w:t xml:space="preserve"> </w:t>
      </w:r>
      <w:proofErr w:type="spellStart"/>
      <w:r>
        <w:rPr>
          <w:b/>
          <w:lang w:val="tr-TR"/>
        </w:rPr>
        <w:t>address</w:t>
      </w:r>
      <w:proofErr w:type="spellEnd"/>
      <w:r>
        <w:rPr>
          <w:b/>
          <w:lang w:val="tr-TR"/>
        </w:rPr>
        <w:t>:</w:t>
      </w:r>
    </w:p>
    <w:p w:rsidR="005202F4" w:rsidRDefault="005202F4" w:rsidP="005202F4">
      <w:pPr>
        <w:spacing w:line="276" w:lineRule="auto"/>
        <w:jc w:val="both"/>
        <w:rPr>
          <w:lang w:val="tr-TR"/>
        </w:rPr>
      </w:pPr>
      <w:r>
        <w:rPr>
          <w:lang w:val="tr-TR"/>
        </w:rPr>
        <w:t xml:space="preserve">Dr. </w:t>
      </w:r>
      <w:proofErr w:type="spellStart"/>
      <w:r>
        <w:rPr>
          <w:lang w:val="tr-TR"/>
        </w:rPr>
        <w:t>Ozgul</w:t>
      </w:r>
      <w:proofErr w:type="spellEnd"/>
      <w:r>
        <w:rPr>
          <w:lang w:val="tr-TR"/>
        </w:rPr>
        <w:t xml:space="preserve"> BAYGIN</w:t>
      </w:r>
    </w:p>
    <w:p w:rsidR="005202F4" w:rsidRDefault="005202F4" w:rsidP="005202F4">
      <w:pPr>
        <w:spacing w:line="276" w:lineRule="auto"/>
        <w:jc w:val="both"/>
        <w:rPr>
          <w:lang w:val="tr-TR"/>
        </w:rPr>
      </w:pPr>
      <w:r>
        <w:rPr>
          <w:lang w:val="tr-TR"/>
        </w:rPr>
        <w:t xml:space="preserve">Karadeniz Technical </w:t>
      </w:r>
      <w:proofErr w:type="spellStart"/>
      <w:r>
        <w:rPr>
          <w:lang w:val="tr-TR"/>
        </w:rPr>
        <w:t>University</w:t>
      </w:r>
      <w:proofErr w:type="spellEnd"/>
      <w:r>
        <w:rPr>
          <w:lang w:val="tr-TR"/>
        </w:rPr>
        <w:t xml:space="preserve"> </w:t>
      </w:r>
    </w:p>
    <w:p w:rsidR="005202F4" w:rsidRDefault="005202F4" w:rsidP="005202F4">
      <w:pPr>
        <w:spacing w:line="276" w:lineRule="auto"/>
        <w:jc w:val="both"/>
        <w:rPr>
          <w:lang w:val="tr-TR"/>
        </w:rPr>
      </w:pPr>
      <w:proofErr w:type="spellStart"/>
      <w:r>
        <w:rPr>
          <w:lang w:val="tr-TR"/>
        </w:rPr>
        <w:t>Faculty</w:t>
      </w:r>
      <w:proofErr w:type="spellEnd"/>
      <w:r>
        <w:rPr>
          <w:lang w:val="tr-TR"/>
        </w:rPr>
        <w:t xml:space="preserve"> of </w:t>
      </w:r>
      <w:proofErr w:type="spellStart"/>
      <w:r>
        <w:rPr>
          <w:lang w:val="tr-TR"/>
        </w:rPr>
        <w:t>Dentistry</w:t>
      </w:r>
      <w:proofErr w:type="spellEnd"/>
      <w:r>
        <w:rPr>
          <w:lang w:val="tr-TR"/>
        </w:rPr>
        <w:t xml:space="preserve"> </w:t>
      </w:r>
    </w:p>
    <w:p w:rsidR="005202F4" w:rsidRDefault="005202F4" w:rsidP="005202F4">
      <w:pPr>
        <w:spacing w:line="276" w:lineRule="auto"/>
        <w:jc w:val="both"/>
        <w:rPr>
          <w:lang w:val="tr-TR"/>
        </w:rPr>
      </w:pPr>
      <w:proofErr w:type="spellStart"/>
      <w:r>
        <w:rPr>
          <w:lang w:val="tr-TR"/>
        </w:rPr>
        <w:t>Department</w:t>
      </w:r>
      <w:proofErr w:type="spellEnd"/>
      <w:r>
        <w:rPr>
          <w:lang w:val="tr-TR"/>
        </w:rPr>
        <w:t xml:space="preserve"> of </w:t>
      </w:r>
      <w:proofErr w:type="spellStart"/>
      <w:r>
        <w:rPr>
          <w:lang w:val="tr-TR"/>
        </w:rPr>
        <w:t>Pediatric</w:t>
      </w:r>
      <w:proofErr w:type="spellEnd"/>
      <w:r>
        <w:rPr>
          <w:lang w:val="tr-TR"/>
        </w:rPr>
        <w:t xml:space="preserve"> </w:t>
      </w:r>
      <w:proofErr w:type="spellStart"/>
      <w:r>
        <w:rPr>
          <w:lang w:val="tr-TR"/>
        </w:rPr>
        <w:t>Dentistry</w:t>
      </w:r>
      <w:proofErr w:type="spellEnd"/>
      <w:r>
        <w:rPr>
          <w:lang w:val="tr-TR"/>
        </w:rPr>
        <w:t xml:space="preserve"> </w:t>
      </w:r>
    </w:p>
    <w:p w:rsidR="005202F4" w:rsidRDefault="005202F4" w:rsidP="005202F4">
      <w:pPr>
        <w:spacing w:line="276" w:lineRule="auto"/>
        <w:jc w:val="both"/>
        <w:rPr>
          <w:lang w:val="tr-TR"/>
        </w:rPr>
      </w:pPr>
      <w:r>
        <w:rPr>
          <w:lang w:val="tr-TR"/>
        </w:rPr>
        <w:t>Trabzon-TURKEY</w:t>
      </w:r>
    </w:p>
    <w:p w:rsidR="005202F4" w:rsidRDefault="005202F4" w:rsidP="005202F4">
      <w:pPr>
        <w:spacing w:line="276" w:lineRule="auto"/>
        <w:jc w:val="both"/>
        <w:rPr>
          <w:b/>
          <w:lang w:val="tr-TR"/>
        </w:rPr>
      </w:pPr>
    </w:p>
    <w:p w:rsidR="005202F4" w:rsidRDefault="005202F4" w:rsidP="005202F4">
      <w:pPr>
        <w:spacing w:line="276" w:lineRule="auto"/>
        <w:jc w:val="both"/>
        <w:rPr>
          <w:b/>
          <w:lang w:val="tr-TR"/>
        </w:rPr>
      </w:pPr>
    </w:p>
    <w:p w:rsidR="005202F4" w:rsidRDefault="005202F4" w:rsidP="005202F4">
      <w:pPr>
        <w:spacing w:line="276" w:lineRule="auto"/>
        <w:jc w:val="both"/>
        <w:rPr>
          <w:b/>
          <w:lang w:val="tr-TR"/>
        </w:rPr>
      </w:pPr>
      <w:r>
        <w:rPr>
          <w:b/>
          <w:lang w:val="tr-TR"/>
        </w:rPr>
        <w:t>E mail:</w:t>
      </w:r>
    </w:p>
    <w:p w:rsidR="005202F4" w:rsidRDefault="005202F4" w:rsidP="005202F4">
      <w:pPr>
        <w:spacing w:line="276" w:lineRule="auto"/>
        <w:jc w:val="both"/>
        <w:rPr>
          <w:lang w:val="tr-TR"/>
        </w:rPr>
      </w:pPr>
      <w:r>
        <w:rPr>
          <w:lang w:val="tr-TR"/>
        </w:rPr>
        <w:t xml:space="preserve">dtozgul@gmail.com </w:t>
      </w:r>
    </w:p>
    <w:p w:rsidR="005202F4" w:rsidRDefault="005202F4" w:rsidP="005202F4">
      <w:pPr>
        <w:spacing w:line="276" w:lineRule="auto"/>
        <w:jc w:val="both"/>
        <w:rPr>
          <w:b/>
          <w:lang w:val="tr-TR"/>
        </w:rPr>
      </w:pPr>
      <w:r>
        <w:rPr>
          <w:b/>
          <w:lang w:val="tr-TR"/>
        </w:rPr>
        <w:t xml:space="preserve">Tel: </w:t>
      </w:r>
      <w:r>
        <w:rPr>
          <w:lang w:val="tr-TR"/>
        </w:rPr>
        <w:t>00 90 532 7607660</w:t>
      </w:r>
    </w:p>
    <w:p w:rsidR="005202F4" w:rsidRDefault="005202F4" w:rsidP="005202F4">
      <w:pPr>
        <w:spacing w:line="276" w:lineRule="auto"/>
        <w:jc w:val="both"/>
        <w:rPr>
          <w:lang w:val="tr-TR"/>
        </w:rPr>
      </w:pPr>
      <w:r>
        <w:rPr>
          <w:b/>
          <w:lang w:val="tr-TR"/>
        </w:rPr>
        <w:t>Office:</w:t>
      </w:r>
      <w:r>
        <w:rPr>
          <w:lang w:val="tr-TR"/>
        </w:rPr>
        <w:t xml:space="preserve"> 00 90 462 3774814</w:t>
      </w:r>
    </w:p>
    <w:p w:rsidR="005202F4" w:rsidRDefault="005202F4" w:rsidP="006533FF">
      <w:pPr>
        <w:spacing w:line="480" w:lineRule="auto"/>
        <w:jc w:val="both"/>
        <w:rPr>
          <w:b/>
          <w:color w:val="000000"/>
        </w:rPr>
      </w:pPr>
    </w:p>
    <w:p w:rsidR="005202F4" w:rsidRDefault="005202F4" w:rsidP="006533FF">
      <w:pPr>
        <w:spacing w:line="480" w:lineRule="auto"/>
        <w:jc w:val="both"/>
        <w:rPr>
          <w:b/>
          <w:color w:val="000000"/>
        </w:rPr>
      </w:pPr>
      <w:bookmarkStart w:id="0" w:name="_GoBack"/>
      <w:bookmarkEnd w:id="0"/>
    </w:p>
    <w:p w:rsidR="006533FF" w:rsidRPr="00521410" w:rsidRDefault="006533FF" w:rsidP="006533FF">
      <w:pPr>
        <w:spacing w:line="480" w:lineRule="auto"/>
        <w:jc w:val="both"/>
        <w:rPr>
          <w:b/>
          <w:color w:val="000000"/>
        </w:rPr>
      </w:pPr>
      <w:r w:rsidRPr="00521410">
        <w:rPr>
          <w:b/>
          <w:color w:val="000000"/>
        </w:rPr>
        <w:lastRenderedPageBreak/>
        <w:t>Introduction</w:t>
      </w:r>
    </w:p>
    <w:p w:rsidR="006533FF" w:rsidRDefault="006533FF" w:rsidP="006533FF">
      <w:pPr>
        <w:spacing w:line="480" w:lineRule="auto"/>
        <w:jc w:val="both"/>
        <w:rPr>
          <w:color w:val="000000"/>
        </w:rPr>
      </w:pPr>
      <w:r>
        <w:rPr>
          <w:color w:val="000000"/>
        </w:rPr>
        <w:t xml:space="preserve">Generally accepted </w:t>
      </w:r>
      <w:r w:rsidRPr="00B7106F">
        <w:rPr>
          <w:color w:val="000000"/>
        </w:rPr>
        <w:t>that m</w:t>
      </w:r>
      <w:r>
        <w:rPr>
          <w:color w:val="000000"/>
        </w:rPr>
        <w:t xml:space="preserve">ost children who are undergoing </w:t>
      </w:r>
      <w:r w:rsidRPr="00B7106F">
        <w:rPr>
          <w:color w:val="000000"/>
        </w:rPr>
        <w:t>medical procedures and who are fearful and uncooperative</w:t>
      </w:r>
      <w:r>
        <w:rPr>
          <w:color w:val="000000"/>
        </w:rPr>
        <w:t xml:space="preserve"> </w:t>
      </w:r>
      <w:r w:rsidRPr="00B7106F">
        <w:rPr>
          <w:color w:val="000000"/>
        </w:rPr>
        <w:t>can and should be managed with behavioral management techniques. Unfortunately, a small</w:t>
      </w:r>
      <w:r>
        <w:rPr>
          <w:color w:val="000000"/>
        </w:rPr>
        <w:t xml:space="preserve"> </w:t>
      </w:r>
      <w:r w:rsidRPr="00B7106F">
        <w:rPr>
          <w:color w:val="000000"/>
        </w:rPr>
        <w:t>percentage of pediatric patients cannot be successfully</w:t>
      </w:r>
      <w:r>
        <w:rPr>
          <w:color w:val="000000"/>
        </w:rPr>
        <w:t xml:space="preserve"> managed on</w:t>
      </w:r>
      <w:r w:rsidRPr="00B7106F">
        <w:rPr>
          <w:color w:val="000000"/>
        </w:rPr>
        <w:t xml:space="preserve">ly with these </w:t>
      </w:r>
      <w:proofErr w:type="gramStart"/>
      <w:r w:rsidRPr="00B7106F">
        <w:rPr>
          <w:color w:val="000000"/>
        </w:rPr>
        <w:t>techniques</w:t>
      </w:r>
      <w:r>
        <w:rPr>
          <w:color w:val="000000"/>
        </w:rPr>
        <w:t>.</w:t>
      </w:r>
      <w:r w:rsidRPr="00B7106F">
        <w:rPr>
          <w:color w:val="000000"/>
          <w:vertAlign w:val="superscript"/>
        </w:rPr>
        <w:t>(</w:t>
      </w:r>
      <w:proofErr w:type="gramEnd"/>
      <w:r w:rsidRPr="00B7106F">
        <w:rPr>
          <w:color w:val="000000"/>
          <w:vertAlign w:val="superscript"/>
        </w:rPr>
        <w:t>1)</w:t>
      </w:r>
      <w:r>
        <w:rPr>
          <w:color w:val="000000"/>
          <w:vertAlign w:val="superscript"/>
        </w:rPr>
        <w:t xml:space="preserve"> </w:t>
      </w:r>
      <w:r>
        <w:rPr>
          <w:color w:val="000000"/>
        </w:rPr>
        <w:t>Occasionally</w:t>
      </w:r>
      <w:r w:rsidRPr="00521410">
        <w:rPr>
          <w:color w:val="000000"/>
        </w:rPr>
        <w:t xml:space="preserve">, by reason of anxiety and </w:t>
      </w:r>
      <w:r>
        <w:rPr>
          <w:color w:val="000000"/>
        </w:rPr>
        <w:t>fear</w:t>
      </w:r>
      <w:r w:rsidRPr="00521410">
        <w:rPr>
          <w:color w:val="000000"/>
        </w:rPr>
        <w:t xml:space="preserve"> in children which make dental treatment impossible, use of sedation and general anesthesia becomes a need</w:t>
      </w:r>
      <w:r>
        <w:rPr>
          <w:color w:val="000000"/>
        </w:rPr>
        <w:t>.</w:t>
      </w:r>
      <w:r>
        <w:rPr>
          <w:color w:val="000000"/>
          <w:vertAlign w:val="superscript"/>
        </w:rPr>
        <w:t>(2,3</w:t>
      </w:r>
      <w:r w:rsidRPr="00CB5236">
        <w:rPr>
          <w:color w:val="000000"/>
          <w:vertAlign w:val="superscript"/>
        </w:rPr>
        <w:t>)</w:t>
      </w:r>
      <w:r>
        <w:rPr>
          <w:color w:val="000000"/>
        </w:rPr>
        <w:t xml:space="preserve"> </w:t>
      </w:r>
      <w:r w:rsidRPr="00521410">
        <w:rPr>
          <w:color w:val="000000"/>
        </w:rPr>
        <w:t xml:space="preserve">Midazolam is also one of the most frequently used agents for the purpose of sedative premedication in children. In known doses, midazolam does not cause depression in cardiovascular system and respiratory </w:t>
      </w:r>
      <w:r>
        <w:rPr>
          <w:color w:val="000000"/>
        </w:rPr>
        <w:t>function</w:t>
      </w:r>
      <w:r w:rsidRPr="00521410">
        <w:rPr>
          <w:color w:val="000000"/>
        </w:rPr>
        <w:t>, and has amnesic, sedative and hypnotic characteristics. Because of its efficacy of oral ingestion and its wide margin of safety, m</w:t>
      </w:r>
      <w:r>
        <w:rPr>
          <w:color w:val="000000"/>
        </w:rPr>
        <w:t>i</w:t>
      </w:r>
      <w:r w:rsidRPr="00521410">
        <w:rPr>
          <w:color w:val="000000"/>
        </w:rPr>
        <w:t xml:space="preserve">dazolam is being preferred by </w:t>
      </w:r>
      <w:proofErr w:type="gramStart"/>
      <w:r w:rsidRPr="00521410">
        <w:rPr>
          <w:color w:val="000000"/>
        </w:rPr>
        <w:t>dentist</w:t>
      </w:r>
      <w:r>
        <w:rPr>
          <w:color w:val="000000"/>
        </w:rPr>
        <w:t>ry.</w:t>
      </w:r>
      <w:r w:rsidRPr="00CB5236">
        <w:rPr>
          <w:color w:val="000000"/>
          <w:vertAlign w:val="superscript"/>
        </w:rPr>
        <w:t>(</w:t>
      </w:r>
      <w:proofErr w:type="gramEnd"/>
      <w:r>
        <w:rPr>
          <w:color w:val="000000"/>
          <w:vertAlign w:val="superscript"/>
        </w:rPr>
        <w:t>2-4</w:t>
      </w:r>
      <w:r w:rsidRPr="00CB5236">
        <w:rPr>
          <w:color w:val="000000"/>
          <w:vertAlign w:val="superscript"/>
        </w:rPr>
        <w:t>)</w:t>
      </w:r>
      <w:r>
        <w:rPr>
          <w:color w:val="000000"/>
        </w:rPr>
        <w:t xml:space="preserve"> </w:t>
      </w:r>
      <w:r>
        <w:t xml:space="preserve">Even though </w:t>
      </w:r>
      <w:r w:rsidRPr="00521410">
        <w:t>oral form of m</w:t>
      </w:r>
      <w:r>
        <w:t>i</w:t>
      </w:r>
      <w:r w:rsidRPr="00521410">
        <w:t xml:space="preserve">dazolam is commercially available in some countries, its </w:t>
      </w:r>
      <w:r>
        <w:t>injectable</w:t>
      </w:r>
      <w:r w:rsidRPr="00521410">
        <w:t xml:space="preserve"> form is also being used orally when its oral form is not available and when it can’t be used because of its high price</w:t>
      </w:r>
      <w:r>
        <w:t>.</w:t>
      </w:r>
      <w:r w:rsidRPr="00CB5236">
        <w:rPr>
          <w:vertAlign w:val="superscript"/>
        </w:rPr>
        <w:t>(</w:t>
      </w:r>
      <w:r>
        <w:rPr>
          <w:vertAlign w:val="superscript"/>
        </w:rPr>
        <w:t>4–9</w:t>
      </w:r>
      <w:r w:rsidRPr="00CB5236">
        <w:rPr>
          <w:vertAlign w:val="superscript"/>
        </w:rPr>
        <w:t>)</w:t>
      </w:r>
      <w:r w:rsidRPr="00521410">
        <w:t xml:space="preserve"> But</w:t>
      </w:r>
      <w:r w:rsidRPr="00521410">
        <w:rPr>
          <w:color w:val="000000"/>
        </w:rPr>
        <w:t xml:space="preserve">, because of its bad taste has negative effects on ingestion of the drug in children, various </w:t>
      </w:r>
      <w:proofErr w:type="spellStart"/>
      <w:r w:rsidRPr="00521410">
        <w:rPr>
          <w:color w:val="000000"/>
        </w:rPr>
        <w:t>flavourings</w:t>
      </w:r>
      <w:proofErr w:type="spellEnd"/>
      <w:r w:rsidRPr="00521410">
        <w:rPr>
          <w:color w:val="000000"/>
        </w:rPr>
        <w:t xml:space="preserve"> have been used in previous studies</w:t>
      </w:r>
      <w:r>
        <w:rPr>
          <w:color w:val="000000"/>
        </w:rPr>
        <w:t>.</w:t>
      </w:r>
      <w:r w:rsidRPr="00CB5236">
        <w:rPr>
          <w:color w:val="000000"/>
          <w:vertAlign w:val="superscript"/>
        </w:rPr>
        <w:t>(</w:t>
      </w:r>
      <w:r>
        <w:rPr>
          <w:color w:val="000000"/>
          <w:vertAlign w:val="superscript"/>
        </w:rPr>
        <w:t>4,10</w:t>
      </w:r>
      <w:r w:rsidRPr="00CB5236">
        <w:rPr>
          <w:color w:val="000000"/>
          <w:vertAlign w:val="superscript"/>
        </w:rPr>
        <w:t>)</w:t>
      </w:r>
    </w:p>
    <w:p w:rsidR="006533FF" w:rsidRDefault="006533FF" w:rsidP="006533FF">
      <w:pPr>
        <w:spacing w:line="480" w:lineRule="auto"/>
        <w:jc w:val="both"/>
        <w:rPr>
          <w:color w:val="000000"/>
        </w:rPr>
      </w:pPr>
    </w:p>
    <w:p w:rsidR="006533FF" w:rsidRPr="00521410" w:rsidRDefault="006533FF" w:rsidP="006533FF">
      <w:pPr>
        <w:spacing w:line="480" w:lineRule="auto"/>
        <w:jc w:val="both"/>
        <w:rPr>
          <w:color w:val="000000"/>
        </w:rPr>
      </w:pPr>
      <w:r w:rsidRPr="00521410">
        <w:rPr>
          <w:color w:val="000000"/>
        </w:rPr>
        <w:t xml:space="preserve">Oil solubility, some physical characteristics and pH values of drugs are among the factors which effect the absorption of drugs ingested </w:t>
      </w:r>
      <w:proofErr w:type="gramStart"/>
      <w:r w:rsidRPr="00521410">
        <w:rPr>
          <w:color w:val="000000"/>
        </w:rPr>
        <w:t>or</w:t>
      </w:r>
      <w:r>
        <w:rPr>
          <w:color w:val="000000"/>
        </w:rPr>
        <w:t>ally.</w:t>
      </w:r>
      <w:r w:rsidRPr="00CB5236">
        <w:rPr>
          <w:color w:val="000000"/>
          <w:vertAlign w:val="superscript"/>
        </w:rPr>
        <w:t>(</w:t>
      </w:r>
      <w:proofErr w:type="gramEnd"/>
      <w:r>
        <w:rPr>
          <w:color w:val="000000"/>
          <w:vertAlign w:val="superscript"/>
        </w:rPr>
        <w:t>11</w:t>
      </w:r>
      <w:r w:rsidRPr="00CB5236">
        <w:rPr>
          <w:color w:val="000000"/>
          <w:vertAlign w:val="superscript"/>
        </w:rPr>
        <w:t xml:space="preserve">) </w:t>
      </w:r>
      <w:r>
        <w:rPr>
          <w:color w:val="000000"/>
        </w:rPr>
        <w:t xml:space="preserve">It is informed that sodium </w:t>
      </w:r>
      <w:r w:rsidRPr="00521410">
        <w:rPr>
          <w:color w:val="000000"/>
        </w:rPr>
        <w:t>citrate, sugared water,</w:t>
      </w:r>
      <w:r w:rsidRPr="00705E06">
        <w:rPr>
          <w:color w:val="000000"/>
        </w:rPr>
        <w:t xml:space="preserve"> </w:t>
      </w:r>
      <w:r>
        <w:rPr>
          <w:color w:val="000000"/>
        </w:rPr>
        <w:t>orange, grapefruit,</w:t>
      </w:r>
      <w:r w:rsidRPr="00521410">
        <w:rPr>
          <w:color w:val="000000"/>
        </w:rPr>
        <w:t xml:space="preserve"> berry or grape juice, added to midazolam, affects the sedation </w:t>
      </w:r>
      <w:r>
        <w:rPr>
          <w:color w:val="000000"/>
        </w:rPr>
        <w:t>onset</w:t>
      </w:r>
      <w:r w:rsidRPr="00521410">
        <w:rPr>
          <w:color w:val="000000"/>
        </w:rPr>
        <w:t xml:space="preserve"> time</w:t>
      </w:r>
      <w:r>
        <w:rPr>
          <w:color w:val="000000"/>
        </w:rPr>
        <w:t>.</w:t>
      </w:r>
      <w:r>
        <w:rPr>
          <w:color w:val="000000"/>
          <w:vertAlign w:val="superscript"/>
        </w:rPr>
        <w:t>(3-5</w:t>
      </w:r>
      <w:r w:rsidRPr="00CB5236">
        <w:rPr>
          <w:color w:val="000000"/>
          <w:vertAlign w:val="superscript"/>
        </w:rPr>
        <w:t>)</w:t>
      </w:r>
    </w:p>
    <w:p w:rsidR="006533FF" w:rsidRDefault="006533FF" w:rsidP="006533FF">
      <w:pPr>
        <w:spacing w:line="480" w:lineRule="auto"/>
        <w:jc w:val="both"/>
        <w:rPr>
          <w:color w:val="000000"/>
        </w:rPr>
      </w:pPr>
      <w:r w:rsidRPr="00521410">
        <w:rPr>
          <w:color w:val="000000"/>
        </w:rPr>
        <w:tab/>
      </w:r>
    </w:p>
    <w:p w:rsidR="006533FF" w:rsidRDefault="006533FF" w:rsidP="006533FF">
      <w:pPr>
        <w:spacing w:line="480" w:lineRule="auto"/>
        <w:jc w:val="both"/>
        <w:rPr>
          <w:color w:val="000000"/>
        </w:rPr>
      </w:pPr>
      <w:r w:rsidRPr="00521410">
        <w:rPr>
          <w:color w:val="000000"/>
        </w:rPr>
        <w:t xml:space="preserve">In consequence of our literature review, we have not </w:t>
      </w:r>
      <w:proofErr w:type="gramStart"/>
      <w:r w:rsidRPr="00521410">
        <w:rPr>
          <w:color w:val="000000"/>
        </w:rPr>
        <w:t>came</w:t>
      </w:r>
      <w:proofErr w:type="gramEnd"/>
      <w:r w:rsidRPr="00521410">
        <w:rPr>
          <w:color w:val="000000"/>
        </w:rPr>
        <w:t xml:space="preserve"> across to any study that evaluates in what manner the drinks mixed with midazolam affect pH value and sedation success of the drug, and </w:t>
      </w:r>
      <w:r>
        <w:rPr>
          <w:color w:val="000000"/>
        </w:rPr>
        <w:t>acceptance</w:t>
      </w:r>
      <w:r w:rsidRPr="00521410">
        <w:rPr>
          <w:color w:val="000000"/>
        </w:rPr>
        <w:t xml:space="preserve"> of drug by child.</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Pr>
          <w:color w:val="000000"/>
        </w:rPr>
        <w:lastRenderedPageBreak/>
        <w:t>Nowadays</w:t>
      </w:r>
      <w:r w:rsidRPr="00554F5D">
        <w:rPr>
          <w:color w:val="000000"/>
        </w:rPr>
        <w:t>, most of the hospital pediatric dental procedures are performed under outpatient general anesthesia. One of the drawbacks of this method is the challenging separation of children from their parents which</w:t>
      </w:r>
      <w:r w:rsidRPr="00554F5D">
        <w:t xml:space="preserve"> </w:t>
      </w:r>
      <w:r w:rsidRPr="00554F5D">
        <w:rPr>
          <w:color w:val="000000"/>
        </w:rPr>
        <w:t xml:space="preserve">may consequently cause a psychological trauma in the </w:t>
      </w:r>
      <w:r>
        <w:rPr>
          <w:color w:val="000000"/>
        </w:rPr>
        <w:t>children</w:t>
      </w:r>
      <w:r w:rsidRPr="00554F5D">
        <w:rPr>
          <w:color w:val="000000"/>
        </w:rPr>
        <w:t>.</w:t>
      </w:r>
      <w:r>
        <w:rPr>
          <w:color w:val="000000"/>
          <w:vertAlign w:val="superscript"/>
        </w:rPr>
        <w:t>(12,13</w:t>
      </w:r>
      <w:r w:rsidRPr="00680B44">
        <w:rPr>
          <w:color w:val="000000"/>
          <w:vertAlign w:val="superscript"/>
        </w:rPr>
        <w:t xml:space="preserve">) </w:t>
      </w:r>
      <w:r w:rsidRPr="00554F5D">
        <w:rPr>
          <w:color w:val="000000"/>
        </w:rPr>
        <w:t>The anxiety with separation is experienced enormously at age one whilst the genetic, personality, the previous experiences and the anxiety of parents are the factors concerned in the sever</w:t>
      </w:r>
      <w:r>
        <w:rPr>
          <w:color w:val="000000"/>
        </w:rPr>
        <w:t>ity of the children anxiety.</w:t>
      </w:r>
      <w:r>
        <w:rPr>
          <w:color w:val="000000"/>
          <w:vertAlign w:val="superscript"/>
        </w:rPr>
        <w:t>(13</w:t>
      </w:r>
      <w:r w:rsidRPr="005D1CF7">
        <w:rPr>
          <w:color w:val="000000"/>
          <w:vertAlign w:val="superscript"/>
        </w:rPr>
        <w:t xml:space="preserve">) </w:t>
      </w:r>
      <w:r w:rsidRPr="00554F5D">
        <w:rPr>
          <w:color w:val="000000"/>
        </w:rPr>
        <w:t>Recalling the early phases of anesthesia which begins with the placement of anesthesia mask and follows with the smelling an unpleasant anesthetic gas is</w:t>
      </w:r>
      <w:r>
        <w:rPr>
          <w:color w:val="000000"/>
        </w:rPr>
        <w:t xml:space="preserve"> an unlikable experience.</w:t>
      </w:r>
      <w:r>
        <w:rPr>
          <w:color w:val="000000"/>
          <w:vertAlign w:val="superscript"/>
        </w:rPr>
        <w:t>(14</w:t>
      </w:r>
      <w:r w:rsidRPr="005D1CF7">
        <w:rPr>
          <w:color w:val="000000"/>
          <w:vertAlign w:val="superscript"/>
        </w:rPr>
        <w:t xml:space="preserve">) </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554F5D">
        <w:rPr>
          <w:color w:val="000000"/>
        </w:rPr>
        <w:t xml:space="preserve">The inherent anxiety of pre-anesthesia and the recalling of the pre-anesthetic events could proceed to psychological trauma and affect the quality of children’s life, therefore, evaluating the effect of pre-anesthetic oral midazolam, on controlling these problems, seems to be </w:t>
      </w:r>
      <w:proofErr w:type="gramStart"/>
      <w:r w:rsidRPr="00554F5D">
        <w:rPr>
          <w:color w:val="000000"/>
        </w:rPr>
        <w:t>indispensable</w:t>
      </w:r>
      <w:r>
        <w:rPr>
          <w:color w:val="000000"/>
        </w:rPr>
        <w:t>.</w:t>
      </w:r>
      <w:r>
        <w:rPr>
          <w:color w:val="000000"/>
          <w:vertAlign w:val="superscript"/>
        </w:rPr>
        <w:t>(</w:t>
      </w:r>
      <w:proofErr w:type="gramEnd"/>
      <w:r>
        <w:rPr>
          <w:color w:val="000000"/>
          <w:vertAlign w:val="superscript"/>
        </w:rPr>
        <w:t>15</w:t>
      </w:r>
      <w:r w:rsidRPr="005D1CF7">
        <w:rPr>
          <w:color w:val="000000"/>
          <w:vertAlign w:val="superscript"/>
        </w:rPr>
        <w:t>)</w:t>
      </w:r>
    </w:p>
    <w:p w:rsidR="006533FF" w:rsidRDefault="006533FF" w:rsidP="006533FF">
      <w:pPr>
        <w:spacing w:line="480" w:lineRule="auto"/>
        <w:jc w:val="both"/>
        <w:rPr>
          <w:color w:val="000000"/>
        </w:rPr>
      </w:pPr>
    </w:p>
    <w:p w:rsidR="006533FF" w:rsidRPr="00521410" w:rsidRDefault="006533FF" w:rsidP="006533FF">
      <w:pPr>
        <w:spacing w:line="480" w:lineRule="auto"/>
        <w:jc w:val="both"/>
        <w:rPr>
          <w:color w:val="000000"/>
        </w:rPr>
      </w:pPr>
      <w:r w:rsidRPr="00521410">
        <w:rPr>
          <w:color w:val="000000"/>
        </w:rPr>
        <w:t xml:space="preserve">In this study, </w:t>
      </w:r>
      <w:r>
        <w:rPr>
          <w:color w:val="000000"/>
        </w:rPr>
        <w:t xml:space="preserve">we </w:t>
      </w:r>
      <w:r w:rsidRPr="00521410">
        <w:rPr>
          <w:color w:val="000000"/>
        </w:rPr>
        <w:t xml:space="preserve">aimed to assess which mixture provides </w:t>
      </w:r>
      <w:r>
        <w:rPr>
          <w:color w:val="000000"/>
        </w:rPr>
        <w:t xml:space="preserve">a </w:t>
      </w:r>
      <w:r w:rsidRPr="00521410">
        <w:rPr>
          <w:color w:val="000000"/>
        </w:rPr>
        <w:t xml:space="preserve">more successful </w:t>
      </w:r>
      <w:r>
        <w:rPr>
          <w:color w:val="000000"/>
        </w:rPr>
        <w:t xml:space="preserve">premedication </w:t>
      </w:r>
      <w:r w:rsidRPr="00521410">
        <w:rPr>
          <w:color w:val="000000"/>
        </w:rPr>
        <w:t xml:space="preserve">by comparing the effects of pH and taste </w:t>
      </w:r>
      <w:r>
        <w:rPr>
          <w:color w:val="000000"/>
        </w:rPr>
        <w:t>differences of the mixtures</w:t>
      </w:r>
      <w:r w:rsidRPr="00521410">
        <w:rPr>
          <w:color w:val="000000"/>
        </w:rPr>
        <w:t xml:space="preserve"> </w:t>
      </w:r>
      <w:r>
        <w:rPr>
          <w:color w:val="000000"/>
        </w:rPr>
        <w:t xml:space="preserve">of </w:t>
      </w:r>
      <w:r w:rsidRPr="00521410">
        <w:rPr>
          <w:color w:val="000000"/>
        </w:rPr>
        <w:t xml:space="preserve">midazolam on drug </w:t>
      </w:r>
      <w:r>
        <w:rPr>
          <w:color w:val="000000"/>
        </w:rPr>
        <w:t>acceptance</w:t>
      </w:r>
      <w:r w:rsidRPr="00521410">
        <w:rPr>
          <w:color w:val="000000"/>
        </w:rPr>
        <w:t xml:space="preserve"> and </w:t>
      </w:r>
      <w:r>
        <w:rPr>
          <w:color w:val="000000"/>
        </w:rPr>
        <w:t>inducing a trouble free anesthesia</w:t>
      </w:r>
      <w:r w:rsidRPr="00521410">
        <w:rPr>
          <w:color w:val="000000"/>
        </w:rPr>
        <w:t xml:space="preserve">. </w:t>
      </w:r>
    </w:p>
    <w:p w:rsidR="006533FF" w:rsidRPr="00521410" w:rsidRDefault="006533FF" w:rsidP="006533FF">
      <w:pPr>
        <w:spacing w:line="360" w:lineRule="auto"/>
        <w:jc w:val="both"/>
        <w:rPr>
          <w:color w:val="000000"/>
        </w:rPr>
      </w:pPr>
    </w:p>
    <w:p w:rsidR="006533FF" w:rsidRDefault="006533FF" w:rsidP="006533FF">
      <w:pPr>
        <w:spacing w:line="360" w:lineRule="auto"/>
        <w:jc w:val="both"/>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p>
    <w:p w:rsidR="006533FF" w:rsidRPr="00A94D03" w:rsidRDefault="006533FF" w:rsidP="006533FF">
      <w:pPr>
        <w:spacing w:line="480" w:lineRule="auto"/>
        <w:jc w:val="both"/>
        <w:rPr>
          <w:b/>
          <w:color w:val="000000"/>
        </w:rPr>
      </w:pPr>
      <w:r>
        <w:rPr>
          <w:b/>
          <w:color w:val="000000"/>
        </w:rPr>
        <w:lastRenderedPageBreak/>
        <w:t>M</w:t>
      </w:r>
      <w:r w:rsidRPr="00521410">
        <w:rPr>
          <w:b/>
          <w:color w:val="000000"/>
        </w:rPr>
        <w:t>eth</w:t>
      </w:r>
      <w:r>
        <w:rPr>
          <w:b/>
          <w:color w:val="000000"/>
        </w:rPr>
        <w:t>od</w:t>
      </w:r>
      <w:r w:rsidRPr="00521410">
        <w:rPr>
          <w:b/>
          <w:color w:val="000000"/>
        </w:rPr>
        <w:t>s</w:t>
      </w:r>
    </w:p>
    <w:p w:rsidR="006533FF" w:rsidRDefault="006533FF" w:rsidP="006533FF">
      <w:pPr>
        <w:spacing w:line="480" w:lineRule="auto"/>
        <w:jc w:val="both"/>
        <w:rPr>
          <w:color w:val="000000"/>
        </w:rPr>
      </w:pPr>
      <w:r w:rsidRPr="00521410">
        <w:t xml:space="preserve">During the study, </w:t>
      </w:r>
      <w:r w:rsidRPr="00521410">
        <w:rPr>
          <w:color w:val="000000"/>
        </w:rPr>
        <w:t xml:space="preserve">the fresh </w:t>
      </w:r>
      <w:r>
        <w:rPr>
          <w:color w:val="000000"/>
        </w:rPr>
        <w:t xml:space="preserve">orange juice </w:t>
      </w:r>
      <w:r>
        <w:t xml:space="preserve">(sweet) </w:t>
      </w:r>
      <w:r w:rsidRPr="00521410">
        <w:rPr>
          <w:color w:val="000000"/>
        </w:rPr>
        <w:t xml:space="preserve">and grapefruit juice (bitter) were chosen to differentiate the tastes of drinks added to midazolam. </w:t>
      </w:r>
      <w:r>
        <w:rPr>
          <w:color w:val="000000"/>
        </w:rPr>
        <w:t xml:space="preserve">Two milliliter </w:t>
      </w:r>
      <w:r w:rsidRPr="00521410">
        <w:rPr>
          <w:color w:val="000000"/>
        </w:rPr>
        <w:t>each</w:t>
      </w:r>
      <w:r>
        <w:rPr>
          <w:color w:val="000000"/>
        </w:rPr>
        <w:t xml:space="preserve"> of</w:t>
      </w:r>
      <w:r w:rsidRPr="00A94D03">
        <w:rPr>
          <w:color w:val="000000"/>
        </w:rPr>
        <w:t xml:space="preserve"> </w:t>
      </w:r>
      <w:r w:rsidRPr="00521410">
        <w:rPr>
          <w:color w:val="000000"/>
        </w:rPr>
        <w:t xml:space="preserve">fresh </w:t>
      </w:r>
      <w:r>
        <w:rPr>
          <w:color w:val="000000"/>
        </w:rPr>
        <w:t xml:space="preserve">orange juice and </w:t>
      </w:r>
      <w:r w:rsidRPr="00521410">
        <w:rPr>
          <w:color w:val="000000"/>
        </w:rPr>
        <w:t xml:space="preserve">fresh grapefruit juice were added </w:t>
      </w:r>
      <w:r>
        <w:rPr>
          <w:color w:val="000000"/>
        </w:rPr>
        <w:t xml:space="preserve">to midazolam in </w:t>
      </w:r>
      <w:r w:rsidRPr="00521410">
        <w:rPr>
          <w:color w:val="000000"/>
        </w:rPr>
        <w:t>equal</w:t>
      </w:r>
      <w:r>
        <w:rPr>
          <w:color w:val="000000"/>
        </w:rPr>
        <w:t xml:space="preserve"> volumes of </w:t>
      </w:r>
      <w:r w:rsidRPr="00521410">
        <w:rPr>
          <w:color w:val="000000"/>
        </w:rPr>
        <w:t>15</w:t>
      </w:r>
      <w:r>
        <w:rPr>
          <w:color w:val="000000"/>
        </w:rPr>
        <w:t xml:space="preserve"> </w:t>
      </w:r>
      <w:r w:rsidRPr="00521410">
        <w:rPr>
          <w:color w:val="000000"/>
        </w:rPr>
        <w:t>m</w:t>
      </w:r>
      <w:r>
        <w:rPr>
          <w:color w:val="000000"/>
        </w:rPr>
        <w:t>g/</w:t>
      </w:r>
      <w:r w:rsidRPr="00521410">
        <w:rPr>
          <w:color w:val="000000"/>
        </w:rPr>
        <w:t>3</w:t>
      </w:r>
      <w:r>
        <w:rPr>
          <w:color w:val="000000"/>
        </w:rPr>
        <w:t>ml</w:t>
      </w:r>
      <w:r w:rsidRPr="00521410">
        <w:rPr>
          <w:color w:val="000000"/>
        </w:rPr>
        <w:t xml:space="preserve"> and </w:t>
      </w:r>
      <w:r>
        <w:rPr>
          <w:color w:val="000000"/>
        </w:rPr>
        <w:t xml:space="preserve">the </w:t>
      </w:r>
      <w:r w:rsidRPr="00521410">
        <w:rPr>
          <w:color w:val="000000"/>
        </w:rPr>
        <w:t xml:space="preserve">pH value </w:t>
      </w:r>
      <w:r>
        <w:rPr>
          <w:color w:val="000000"/>
        </w:rPr>
        <w:t>of each is</w:t>
      </w:r>
      <w:r w:rsidRPr="00521410">
        <w:rPr>
          <w:color w:val="000000"/>
        </w:rPr>
        <w:t xml:space="preserve"> measured (LABCOR Consort C833 ®) (Table </w:t>
      </w:r>
      <w:r>
        <w:rPr>
          <w:color w:val="000000"/>
        </w:rPr>
        <w:t>1</w:t>
      </w:r>
      <w:r w:rsidRPr="00521410">
        <w:rPr>
          <w:color w:val="000000"/>
        </w:rPr>
        <w:t>)</w:t>
      </w:r>
      <w:r>
        <w:rPr>
          <w:color w:val="000000"/>
        </w:rPr>
        <w:t>.</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521410">
        <w:rPr>
          <w:color w:val="000000"/>
        </w:rPr>
        <w:t>Patients, age</w:t>
      </w:r>
      <w:r>
        <w:rPr>
          <w:color w:val="000000"/>
        </w:rPr>
        <w:t>s</w:t>
      </w:r>
      <w:r w:rsidRPr="00521410">
        <w:rPr>
          <w:color w:val="000000"/>
        </w:rPr>
        <w:t xml:space="preserve"> </w:t>
      </w:r>
      <w:r>
        <w:rPr>
          <w:color w:val="000000"/>
        </w:rPr>
        <w:t>between 5 and 8 year of ASA grade I, whose treatments had failed with behavior</w:t>
      </w:r>
      <w:r w:rsidRPr="00521410">
        <w:rPr>
          <w:color w:val="000000"/>
        </w:rPr>
        <w:t xml:space="preserve"> </w:t>
      </w:r>
      <w:r w:rsidRPr="00521410">
        <w:rPr>
          <w:bCs/>
          <w:color w:val="000000"/>
        </w:rPr>
        <w:t>guidance techniques</w:t>
      </w:r>
      <w:r w:rsidRPr="00521410">
        <w:rPr>
          <w:color w:val="000000"/>
        </w:rPr>
        <w:t xml:space="preserve"> and whose dental treatment compliance was determined as 3–4 with Frankl Behavior Scale</w:t>
      </w:r>
      <w:r>
        <w:rPr>
          <w:color w:val="000000"/>
        </w:rPr>
        <w:t xml:space="preserve"> (FBS; Table 2)</w:t>
      </w:r>
      <w:r w:rsidRPr="00521410">
        <w:rPr>
          <w:color w:val="000000"/>
        </w:rPr>
        <w:t xml:space="preserve">, </w:t>
      </w:r>
      <w:r>
        <w:rPr>
          <w:color w:val="000000"/>
        </w:rPr>
        <w:t xml:space="preserve">were recruited for the </w:t>
      </w:r>
      <w:r w:rsidRPr="00521410">
        <w:rPr>
          <w:color w:val="000000"/>
        </w:rPr>
        <w:t>study.</w:t>
      </w:r>
      <w:r>
        <w:rPr>
          <w:color w:val="000000"/>
        </w:rPr>
        <w:t xml:space="preserve"> </w:t>
      </w:r>
      <w:r w:rsidRPr="00521410">
        <w:rPr>
          <w:color w:val="000000"/>
        </w:rPr>
        <w:t xml:space="preserve"> Previous history of midazolam allergy, mental or motor retardation and administration of general anesthesia and sedation before were accepted as exclusion criteri</w:t>
      </w:r>
      <w:r>
        <w:rPr>
          <w:color w:val="000000"/>
        </w:rPr>
        <w:t>a</w:t>
      </w:r>
      <w:r w:rsidRPr="00521410">
        <w:rPr>
          <w:color w:val="000000"/>
        </w:rPr>
        <w:t xml:space="preserve">. </w:t>
      </w:r>
      <w:r>
        <w:rPr>
          <w:color w:val="000000"/>
        </w:rPr>
        <w:t xml:space="preserve"> </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Pr>
          <w:color w:val="000000"/>
        </w:rPr>
        <w:t xml:space="preserve">Sample size was predetermined using a power analysis: α= 0.05 and β= 0.2 (SD: 0.84, mean difference: 1.68, normal two-sided test). Difference in Ramsay Sedation Scale (RSS) was used to determine sample size. The analysis showed that 15 patients per group would be sufficient. </w:t>
      </w:r>
      <w:r w:rsidRPr="00521410">
        <w:rPr>
          <w:color w:val="000000"/>
        </w:rPr>
        <w:t>According to randomization</w:t>
      </w:r>
      <w:r>
        <w:rPr>
          <w:color w:val="000000"/>
        </w:rPr>
        <w:t xml:space="preserve"> list, 60 cases were divided into 4</w:t>
      </w:r>
      <w:r w:rsidRPr="00521410">
        <w:rPr>
          <w:color w:val="000000"/>
        </w:rPr>
        <w:t xml:space="preserve"> gr</w:t>
      </w:r>
      <w:r>
        <w:rPr>
          <w:color w:val="000000"/>
        </w:rPr>
        <w:t>oups consisted of 15 case each. Parental presence was allowed during the pre-operation, operation (general anesthesia), and post-operation process.</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521410">
        <w:rPr>
          <w:color w:val="000000"/>
        </w:rPr>
        <w:t xml:space="preserve">While </w:t>
      </w:r>
      <w:r>
        <w:rPr>
          <w:color w:val="000000"/>
        </w:rPr>
        <w:t>the mixtures of 0.5 mg/</w:t>
      </w:r>
      <w:r w:rsidRPr="00521410">
        <w:rPr>
          <w:color w:val="000000"/>
        </w:rPr>
        <w:t>kg midazolam</w:t>
      </w:r>
      <w:r w:rsidRPr="00521410">
        <w:t xml:space="preserve"> in which added </w:t>
      </w:r>
      <w:r>
        <w:t xml:space="preserve">the fresh </w:t>
      </w:r>
      <w:r>
        <w:rPr>
          <w:color w:val="000000"/>
        </w:rPr>
        <w:t xml:space="preserve">orange juice </w:t>
      </w:r>
      <w:r w:rsidRPr="00521410">
        <w:t xml:space="preserve">(Group I), </w:t>
      </w:r>
      <w:r>
        <w:t xml:space="preserve">the </w:t>
      </w:r>
      <w:r>
        <w:rPr>
          <w:color w:val="000000"/>
        </w:rPr>
        <w:t>fresh grapefruit juice (Group II</w:t>
      </w:r>
      <w:r w:rsidRPr="00521410">
        <w:rPr>
          <w:color w:val="000000"/>
        </w:rPr>
        <w:t>) of equal masses were administered to cases, only</w:t>
      </w:r>
      <w:r>
        <w:rPr>
          <w:color w:val="000000"/>
        </w:rPr>
        <w:t xml:space="preserve"> 0.5 mg/</w:t>
      </w:r>
      <w:r w:rsidRPr="00521410">
        <w:rPr>
          <w:color w:val="000000"/>
        </w:rPr>
        <w:t xml:space="preserve">kg </w:t>
      </w:r>
      <w:r>
        <w:rPr>
          <w:color w:val="000000"/>
        </w:rPr>
        <w:t>midazolam (</w:t>
      </w:r>
      <w:proofErr w:type="spellStart"/>
      <w:r>
        <w:rPr>
          <w:color w:val="000000"/>
        </w:rPr>
        <w:t>Dormicum</w:t>
      </w:r>
      <w:proofErr w:type="spellEnd"/>
      <w:r>
        <w:rPr>
          <w:color w:val="000000"/>
        </w:rPr>
        <w:t xml:space="preserve"> 15mg/3</w:t>
      </w:r>
      <w:r w:rsidRPr="00521410">
        <w:rPr>
          <w:color w:val="000000"/>
        </w:rPr>
        <w:t>m</w:t>
      </w:r>
      <w:r>
        <w:rPr>
          <w:color w:val="000000"/>
        </w:rPr>
        <w:t>l</w:t>
      </w:r>
      <w:r w:rsidRPr="00521410">
        <w:rPr>
          <w:color w:val="000000"/>
        </w:rPr>
        <w:t>) were administered to</w:t>
      </w:r>
      <w:r>
        <w:rPr>
          <w:color w:val="000000"/>
        </w:rPr>
        <w:t xml:space="preserve"> Group III</w:t>
      </w:r>
      <w:r w:rsidRPr="00521410">
        <w:rPr>
          <w:color w:val="000000"/>
        </w:rPr>
        <w:t xml:space="preserve">. </w:t>
      </w:r>
      <w:r>
        <w:rPr>
          <w:color w:val="000000"/>
        </w:rPr>
        <w:t xml:space="preserve">The control group </w:t>
      </w:r>
      <w:r w:rsidRPr="00521410">
        <w:rPr>
          <w:color w:val="000000"/>
        </w:rPr>
        <w:t>(Group</w:t>
      </w:r>
      <w:r>
        <w:rPr>
          <w:color w:val="000000"/>
        </w:rPr>
        <w:t xml:space="preserve"> IV) included no medication. </w:t>
      </w:r>
      <w:r w:rsidRPr="00521410">
        <w:rPr>
          <w:color w:val="000000"/>
        </w:rPr>
        <w:t>The medications were prepared</w:t>
      </w:r>
      <w:r>
        <w:rPr>
          <w:color w:val="000000"/>
        </w:rPr>
        <w:t xml:space="preserve"> just before administration</w:t>
      </w:r>
      <w:r w:rsidRPr="00521410">
        <w:rPr>
          <w:color w:val="000000"/>
        </w:rPr>
        <w:t>.</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521410">
        <w:rPr>
          <w:color w:val="000000"/>
        </w:rPr>
        <w:lastRenderedPageBreak/>
        <w:t xml:space="preserve">For the purpose of creating double blind conditions, neither the researcher who attends to clinical applications and observations, nor the parents were informed about which mixture is administered to which child. During the whole study period, resuscitation and rapid reaction requirements were present in the </w:t>
      </w:r>
      <w:proofErr w:type="gramStart"/>
      <w:r w:rsidRPr="00521410">
        <w:rPr>
          <w:color w:val="000000"/>
        </w:rPr>
        <w:t>clinic</w:t>
      </w:r>
      <w:r>
        <w:rPr>
          <w:color w:val="000000"/>
        </w:rPr>
        <w:t>.</w:t>
      </w:r>
      <w:r>
        <w:rPr>
          <w:color w:val="000000"/>
          <w:vertAlign w:val="superscript"/>
        </w:rPr>
        <w:t>(</w:t>
      </w:r>
      <w:proofErr w:type="gramEnd"/>
      <w:r>
        <w:rPr>
          <w:color w:val="000000"/>
          <w:vertAlign w:val="superscript"/>
        </w:rPr>
        <w:t>16</w:t>
      </w:r>
      <w:r w:rsidRPr="00B35B23">
        <w:rPr>
          <w:color w:val="000000"/>
          <w:vertAlign w:val="superscript"/>
        </w:rPr>
        <w:t>)</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521410">
        <w:rPr>
          <w:color w:val="000000"/>
        </w:rPr>
        <w:t xml:space="preserve">Drug acceptance of child was registered as “Cooperative” if he/she had not refused to take the total dose, and “Agitated” if drug was given with difficulty; he/she had cried or refused to take the </w:t>
      </w:r>
      <w:r>
        <w:rPr>
          <w:color w:val="000000"/>
        </w:rPr>
        <w:t xml:space="preserve">whole </w:t>
      </w:r>
      <w:r w:rsidRPr="00521410">
        <w:rPr>
          <w:color w:val="000000"/>
        </w:rPr>
        <w:t>dose.</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Pr>
          <w:color w:val="000000"/>
        </w:rPr>
        <w:t xml:space="preserve">Children were separated from their parents 15 minutes later. </w:t>
      </w:r>
      <w:r w:rsidRPr="00B01172">
        <w:rPr>
          <w:color w:val="000000"/>
        </w:rPr>
        <w:t xml:space="preserve">The ease of separation was recorded based on the parental separation anxiety before the </w:t>
      </w:r>
      <w:r>
        <w:rPr>
          <w:color w:val="000000"/>
        </w:rPr>
        <w:t>general anesthesia.</w:t>
      </w:r>
      <w:r w:rsidRPr="00CC765C">
        <w:rPr>
          <w:color w:val="000000"/>
        </w:rPr>
        <w:t xml:space="preserve"> </w:t>
      </w:r>
      <w:r w:rsidRPr="00521410">
        <w:rPr>
          <w:color w:val="000000"/>
        </w:rPr>
        <w:t>Fifteen minutes after being given the drug (T1)</w:t>
      </w:r>
      <w:r>
        <w:rPr>
          <w:color w:val="000000"/>
        </w:rPr>
        <w:t xml:space="preserve">, The </w:t>
      </w:r>
      <w:r w:rsidRPr="00521410">
        <w:rPr>
          <w:color w:val="000000"/>
        </w:rPr>
        <w:t>RSS</w:t>
      </w:r>
      <w:r>
        <w:rPr>
          <w:color w:val="000000"/>
        </w:rPr>
        <w:t xml:space="preserve"> (</w:t>
      </w:r>
      <w:r w:rsidRPr="00521410">
        <w:rPr>
          <w:color w:val="000000"/>
        </w:rPr>
        <w:t xml:space="preserve">Table </w:t>
      </w:r>
      <w:r>
        <w:rPr>
          <w:color w:val="000000"/>
        </w:rPr>
        <w:t>III</w:t>
      </w:r>
      <w:r w:rsidRPr="00521410">
        <w:rPr>
          <w:color w:val="000000"/>
        </w:rPr>
        <w:t>)</w:t>
      </w:r>
      <w:r>
        <w:rPr>
          <w:color w:val="000000"/>
        </w:rPr>
        <w:t xml:space="preserve"> and sedation levels were recorded.</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6D58F1">
        <w:rPr>
          <w:color w:val="000000"/>
        </w:rPr>
        <w:t>The children under study were then laid on t</w:t>
      </w:r>
      <w:r>
        <w:rPr>
          <w:color w:val="000000"/>
        </w:rPr>
        <w:t>he operating t</w:t>
      </w:r>
      <w:r w:rsidRPr="006D58F1">
        <w:rPr>
          <w:color w:val="000000"/>
        </w:rPr>
        <w:t>able. Intravenous catheterization has been performed if the child exhibited cooperation; otherwise the child was managed to inhale slowly a mixture of</w:t>
      </w:r>
      <w:r w:rsidRPr="006D58F1">
        <w:t xml:space="preserve"> </w:t>
      </w:r>
      <w:r w:rsidRPr="006D58F1">
        <w:rPr>
          <w:color w:val="000000"/>
        </w:rPr>
        <w:t>oxygen, N</w:t>
      </w:r>
      <w:r w:rsidRPr="006D58F1">
        <w:rPr>
          <w:color w:val="000000"/>
          <w:vertAlign w:val="subscript"/>
        </w:rPr>
        <w:t>2</w:t>
      </w:r>
      <w:r w:rsidRPr="006D58F1">
        <w:rPr>
          <w:color w:val="000000"/>
        </w:rPr>
        <w:t>O and Isoflurane before IV catheterization. Intravenous anesthesia induction with</w:t>
      </w:r>
      <w:r>
        <w:rPr>
          <w:color w:val="000000"/>
        </w:rPr>
        <w:t xml:space="preserve"> thiopental Na and </w:t>
      </w:r>
      <w:proofErr w:type="spellStart"/>
      <w:r w:rsidRPr="006D58F1">
        <w:rPr>
          <w:color w:val="000000"/>
        </w:rPr>
        <w:t>Fentanil</w:t>
      </w:r>
      <w:proofErr w:type="spellEnd"/>
      <w:r w:rsidRPr="006D58F1">
        <w:rPr>
          <w:color w:val="000000"/>
        </w:rPr>
        <w:t xml:space="preserve"> followed by </w:t>
      </w:r>
      <w:r>
        <w:rPr>
          <w:color w:val="000000"/>
        </w:rPr>
        <w:t xml:space="preserve">nasal </w:t>
      </w:r>
      <w:r w:rsidRPr="006D58F1">
        <w:rPr>
          <w:color w:val="000000"/>
        </w:rPr>
        <w:t>intubation was performed. The sedation was maintained with N</w:t>
      </w:r>
      <w:r w:rsidRPr="006D58F1">
        <w:rPr>
          <w:color w:val="000000"/>
          <w:vertAlign w:val="subscript"/>
        </w:rPr>
        <w:t>2</w:t>
      </w:r>
      <w:r w:rsidRPr="006D58F1">
        <w:rPr>
          <w:color w:val="000000"/>
        </w:rPr>
        <w:t>O/ O</w:t>
      </w:r>
      <w:r w:rsidRPr="006D58F1">
        <w:rPr>
          <w:color w:val="000000"/>
          <w:vertAlign w:val="subscript"/>
        </w:rPr>
        <w:t>2</w:t>
      </w:r>
      <w:r>
        <w:rPr>
          <w:color w:val="000000"/>
        </w:rPr>
        <w:t xml:space="preserve"> </w:t>
      </w:r>
      <w:r w:rsidRPr="006D58F1">
        <w:rPr>
          <w:color w:val="000000"/>
        </w:rPr>
        <w:t xml:space="preserve">and Isoflurane during anesthesia, and the children were monitored in a standard approach. </w:t>
      </w:r>
      <w:r w:rsidRPr="00521410">
        <w:rPr>
          <w:color w:val="000000"/>
        </w:rPr>
        <w:t xml:space="preserve">RSS values were recorded after </w:t>
      </w:r>
      <w:r>
        <w:rPr>
          <w:color w:val="000000"/>
        </w:rPr>
        <w:t xml:space="preserve">IV catheterization </w:t>
      </w:r>
      <w:r w:rsidRPr="00521410">
        <w:rPr>
          <w:color w:val="000000"/>
        </w:rPr>
        <w:t>(T2), at the beginning of the operation (T3), at the end of the operation (T4)</w:t>
      </w:r>
      <w:r>
        <w:rPr>
          <w:color w:val="000000"/>
        </w:rPr>
        <w:t>.</w:t>
      </w:r>
      <w:r w:rsidRPr="00554CDD">
        <w:rPr>
          <w:color w:val="000000"/>
        </w:rPr>
        <w:t xml:space="preserve"> </w:t>
      </w:r>
      <w:r>
        <w:rPr>
          <w:color w:val="000000"/>
        </w:rPr>
        <w:t xml:space="preserve">Dental treatments </w:t>
      </w:r>
      <w:r w:rsidRPr="00521410">
        <w:rPr>
          <w:color w:val="000000"/>
        </w:rPr>
        <w:t xml:space="preserve">were recorded. </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6D58F1">
        <w:rPr>
          <w:color w:val="000000"/>
        </w:rPr>
        <w:t xml:space="preserve">At the end of anesthesia, the children were transferred to the recovery room and were monitored. Subsequently, the oxygen therapy with face mask, clinical observation and pulse oximetry was performed. When they were able to earn a post-operative score of 9 or higher based on post </w:t>
      </w:r>
      <w:r w:rsidRPr="006D58F1">
        <w:rPr>
          <w:color w:val="000000"/>
        </w:rPr>
        <w:lastRenderedPageBreak/>
        <w:t>anesthesia dischar</w:t>
      </w:r>
      <w:r>
        <w:rPr>
          <w:color w:val="000000"/>
        </w:rPr>
        <w:t>ge scoring system (PADS, Table IV</w:t>
      </w:r>
      <w:r w:rsidRPr="006D58F1">
        <w:rPr>
          <w:color w:val="000000"/>
        </w:rPr>
        <w:t>), the children were asked if they recall the pre-operati</w:t>
      </w:r>
      <w:r>
        <w:rPr>
          <w:color w:val="000000"/>
        </w:rPr>
        <w:t xml:space="preserve">ve and operating </w:t>
      </w:r>
      <w:proofErr w:type="gramStart"/>
      <w:r>
        <w:rPr>
          <w:color w:val="000000"/>
        </w:rPr>
        <w:t>procedures</w:t>
      </w:r>
      <w:r w:rsidRPr="006D58F1">
        <w:rPr>
          <w:color w:val="000000"/>
        </w:rPr>
        <w:t>.</w:t>
      </w:r>
      <w:r>
        <w:rPr>
          <w:color w:val="000000"/>
          <w:vertAlign w:val="superscript"/>
        </w:rPr>
        <w:t>(</w:t>
      </w:r>
      <w:proofErr w:type="gramEnd"/>
      <w:r>
        <w:rPr>
          <w:color w:val="000000"/>
          <w:vertAlign w:val="superscript"/>
        </w:rPr>
        <w:t>17</w:t>
      </w:r>
      <w:r w:rsidRPr="009114AE">
        <w:rPr>
          <w:color w:val="000000"/>
          <w:vertAlign w:val="superscript"/>
        </w:rPr>
        <w:t xml:space="preserve">) </w:t>
      </w:r>
      <w:r w:rsidRPr="006D58F1">
        <w:rPr>
          <w:color w:val="000000"/>
        </w:rPr>
        <w:t>The recalled events such as hand contact during IV catheterization, hearing, seeing and the placement of mask to induce anesthesia through inhalation, were recorded on a chart which was prepared by adopting the method enrolled in other studies.</w:t>
      </w:r>
      <w:r>
        <w:rPr>
          <w:color w:val="000000"/>
          <w:vertAlign w:val="superscript"/>
        </w:rPr>
        <w:t>(18,19</w:t>
      </w:r>
      <w:r w:rsidRPr="009114AE">
        <w:rPr>
          <w:color w:val="000000"/>
          <w:vertAlign w:val="superscript"/>
        </w:rPr>
        <w:t xml:space="preserve">) </w:t>
      </w:r>
    </w:p>
    <w:p w:rsidR="006533FF" w:rsidRDefault="006533FF" w:rsidP="006533FF">
      <w:pPr>
        <w:spacing w:line="480" w:lineRule="auto"/>
        <w:jc w:val="both"/>
        <w:rPr>
          <w:color w:val="000000"/>
        </w:rPr>
      </w:pPr>
    </w:p>
    <w:p w:rsidR="006533FF" w:rsidRPr="009114AE" w:rsidRDefault="006533FF" w:rsidP="006533FF">
      <w:pPr>
        <w:spacing w:line="480" w:lineRule="auto"/>
        <w:jc w:val="both"/>
        <w:rPr>
          <w:b/>
          <w:i/>
          <w:color w:val="000000"/>
        </w:rPr>
      </w:pPr>
      <w:r w:rsidRPr="009114AE">
        <w:rPr>
          <w:b/>
          <w:i/>
          <w:color w:val="000000"/>
        </w:rPr>
        <w:t>Statistical Analysis</w:t>
      </w:r>
    </w:p>
    <w:p w:rsidR="006533FF" w:rsidRPr="009114AE" w:rsidRDefault="006533FF" w:rsidP="006533FF">
      <w:pPr>
        <w:spacing w:line="480" w:lineRule="auto"/>
        <w:jc w:val="both"/>
        <w:rPr>
          <w:color w:val="000000"/>
        </w:rPr>
      </w:pPr>
      <w:r w:rsidRPr="009114AE">
        <w:rPr>
          <w:color w:val="000000"/>
        </w:rPr>
        <w:t xml:space="preserve">SPSS 15.0 version was used in statistical analysis of data which have been accessed. In the evaluation of parametric data such as age and body weight One-way ANOVA test, and in the evaluation of the gender data and in inter-groups comparison Chi-Square tests were done. Descriptive statistics was done to reach the average of RSS data. Repeated measures ANOVA was used in inter-groups comparison of repeated measures belong to these data. From among post-hoc tests, under the circumstances of significant differences, </w:t>
      </w:r>
      <w:proofErr w:type="spellStart"/>
      <w:r w:rsidRPr="009114AE">
        <w:rPr>
          <w:color w:val="000000"/>
        </w:rPr>
        <w:t>multicomparison</w:t>
      </w:r>
      <w:proofErr w:type="spellEnd"/>
      <w:r w:rsidRPr="009114AE">
        <w:rPr>
          <w:color w:val="000000"/>
        </w:rPr>
        <w:t xml:space="preserve"> </w:t>
      </w:r>
      <w:proofErr w:type="spellStart"/>
      <w:r w:rsidRPr="009114AE">
        <w:rPr>
          <w:color w:val="000000"/>
        </w:rPr>
        <w:t>Scheffe</w:t>
      </w:r>
      <w:proofErr w:type="spellEnd"/>
      <w:r w:rsidRPr="009114AE">
        <w:rPr>
          <w:color w:val="000000"/>
        </w:rPr>
        <w:t xml:space="preserve"> test was used. During the whole analysis process, first type error was accepted as 0.05 and statistical interpretations were done at 95 % confidential level.</w:t>
      </w:r>
    </w:p>
    <w:p w:rsidR="006533FF" w:rsidRDefault="006533FF" w:rsidP="006533FF">
      <w:pPr>
        <w:spacing w:line="360" w:lineRule="auto"/>
        <w:rPr>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360" w:lineRule="auto"/>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p>
    <w:p w:rsidR="006533FF" w:rsidRDefault="006533FF" w:rsidP="006533FF">
      <w:pPr>
        <w:spacing w:line="480" w:lineRule="auto"/>
        <w:jc w:val="both"/>
        <w:rPr>
          <w:b/>
          <w:color w:val="000000"/>
        </w:rPr>
      </w:pPr>
      <w:r w:rsidRPr="0096093E">
        <w:rPr>
          <w:b/>
          <w:color w:val="000000"/>
        </w:rPr>
        <w:lastRenderedPageBreak/>
        <w:t>Results</w:t>
      </w:r>
    </w:p>
    <w:p w:rsidR="006533FF" w:rsidRDefault="006533FF" w:rsidP="006533FF">
      <w:pPr>
        <w:spacing w:line="480" w:lineRule="auto"/>
        <w:jc w:val="both"/>
        <w:rPr>
          <w:rStyle w:val="Gl"/>
          <w:b w:val="0"/>
        </w:rPr>
      </w:pPr>
      <w:r w:rsidRPr="00AF5D7B">
        <w:rPr>
          <w:color w:val="000000"/>
        </w:rPr>
        <w:t xml:space="preserve">pH values of midazolam and flavored midazolam mixtures which were evaluated in the laboratory before clinical study are shown in Table </w:t>
      </w:r>
      <w:r>
        <w:rPr>
          <w:color w:val="000000"/>
        </w:rPr>
        <w:t>I</w:t>
      </w:r>
      <w:r w:rsidRPr="00AF5D7B">
        <w:rPr>
          <w:color w:val="000000"/>
        </w:rPr>
        <w:t>. After the comparison of values which are belong to gender, age</w:t>
      </w:r>
      <w:r>
        <w:rPr>
          <w:color w:val="000000"/>
        </w:rPr>
        <w:t>, body weight and FDS data of 60</w:t>
      </w:r>
      <w:r w:rsidRPr="00AF5D7B">
        <w:rPr>
          <w:color w:val="000000"/>
        </w:rPr>
        <w:t xml:space="preserve"> cases, which were assessed statistically, </w:t>
      </w:r>
      <w:r w:rsidRPr="00AF5D7B">
        <w:rPr>
          <w:rStyle w:val="Gl"/>
          <w:b w:val="0"/>
        </w:rPr>
        <w:t>no difference was found between the groups</w:t>
      </w:r>
      <w:r w:rsidRPr="00AF5D7B">
        <w:rPr>
          <w:rStyle w:val="Gl"/>
        </w:rPr>
        <w:t xml:space="preserve"> </w:t>
      </w:r>
      <w:r w:rsidRPr="00C2240A">
        <w:rPr>
          <w:rStyle w:val="Gl"/>
          <w:b w:val="0"/>
        </w:rPr>
        <w:t>(p</w:t>
      </w:r>
      <w:r>
        <w:rPr>
          <w:rStyle w:val="Gl"/>
          <w:b w:val="0"/>
        </w:rPr>
        <w:t>&lt;0</w:t>
      </w:r>
      <w:r w:rsidRPr="00C2240A">
        <w:rPr>
          <w:rStyle w:val="Gl"/>
          <w:b w:val="0"/>
        </w:rPr>
        <w:t>.05)</w:t>
      </w:r>
      <w:r>
        <w:rPr>
          <w:rStyle w:val="Gl"/>
        </w:rPr>
        <w:t xml:space="preserve"> </w:t>
      </w:r>
      <w:r>
        <w:rPr>
          <w:rStyle w:val="Gl"/>
          <w:b w:val="0"/>
        </w:rPr>
        <w:t>(Table V</w:t>
      </w:r>
      <w:r w:rsidRPr="00293FC1">
        <w:rPr>
          <w:rStyle w:val="Gl"/>
          <w:b w:val="0"/>
        </w:rPr>
        <w:t>).</w:t>
      </w:r>
      <w:r>
        <w:rPr>
          <w:rStyle w:val="Gl"/>
        </w:rPr>
        <w:t xml:space="preserve">  </w:t>
      </w:r>
      <w:r w:rsidRPr="00383329">
        <w:rPr>
          <w:rStyle w:val="Gl"/>
          <w:b w:val="0"/>
        </w:rPr>
        <w:t xml:space="preserve">The distribution of </w:t>
      </w:r>
      <w:r w:rsidRPr="00EE7A56">
        <w:rPr>
          <w:color w:val="000000"/>
        </w:rPr>
        <w:t xml:space="preserve">dental </w:t>
      </w:r>
      <w:r w:rsidRPr="00EE7A56">
        <w:rPr>
          <w:bCs/>
          <w:color w:val="000000"/>
        </w:rPr>
        <w:t>treatments carried out for each group</w:t>
      </w:r>
      <w:r w:rsidRPr="00383329">
        <w:rPr>
          <w:b/>
          <w:color w:val="000000"/>
        </w:rPr>
        <w:t xml:space="preserve"> </w:t>
      </w:r>
      <w:r w:rsidRPr="00383329">
        <w:rPr>
          <w:rStyle w:val="Gl"/>
          <w:b w:val="0"/>
        </w:rPr>
        <w:t xml:space="preserve">is presented in Table </w:t>
      </w:r>
      <w:r>
        <w:rPr>
          <w:rStyle w:val="Gl"/>
          <w:b w:val="0"/>
        </w:rPr>
        <w:t>VI</w:t>
      </w:r>
      <w:r w:rsidRPr="00383329">
        <w:rPr>
          <w:rStyle w:val="Gl"/>
          <w:b w:val="0"/>
        </w:rPr>
        <w:t>.</w:t>
      </w: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r>
        <w:rPr>
          <w:rStyle w:val="Gl"/>
          <w:b w:val="0"/>
        </w:rPr>
        <w:t>When drug acceptance was evaluated, it was found out that cooperation of Group I was higher than the other groups (p&lt;0.05) (Figure 1).</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Pr>
          <w:color w:val="000000"/>
        </w:rPr>
        <w:t>Mean RSS</w:t>
      </w:r>
      <w:r w:rsidRPr="000E4F4E">
        <w:rPr>
          <w:color w:val="000000"/>
        </w:rPr>
        <w:t xml:space="preserve"> values of Group </w:t>
      </w:r>
      <w:r>
        <w:rPr>
          <w:color w:val="000000"/>
        </w:rPr>
        <w:t>I, II and Group III</w:t>
      </w:r>
      <w:r w:rsidRPr="000E4F4E">
        <w:rPr>
          <w:color w:val="000000"/>
        </w:rPr>
        <w:t xml:space="preserve"> were found higher than Group I</w:t>
      </w:r>
      <w:r>
        <w:rPr>
          <w:color w:val="000000"/>
        </w:rPr>
        <w:t xml:space="preserve">V (p&lt;0.O5).  </w:t>
      </w:r>
      <w:r w:rsidRPr="000E4F4E">
        <w:rPr>
          <w:color w:val="000000"/>
        </w:rPr>
        <w:t xml:space="preserve">Changes of RSS values for the groups in the course of time </w:t>
      </w:r>
      <w:r>
        <w:rPr>
          <w:color w:val="000000"/>
        </w:rPr>
        <w:t xml:space="preserve">(T1, T2, T3 and T4) </w:t>
      </w:r>
      <w:r w:rsidRPr="000E4F4E">
        <w:rPr>
          <w:color w:val="000000"/>
        </w:rPr>
        <w:t xml:space="preserve">are shown in </w:t>
      </w:r>
      <w:r>
        <w:rPr>
          <w:color w:val="000000"/>
        </w:rPr>
        <w:t>Figure 2</w:t>
      </w:r>
      <w:r w:rsidRPr="000E4F4E">
        <w:rPr>
          <w:color w:val="000000"/>
        </w:rPr>
        <w:t xml:space="preserve">. </w:t>
      </w:r>
    </w:p>
    <w:p w:rsidR="006533FF" w:rsidRDefault="006533FF" w:rsidP="006533FF">
      <w:pPr>
        <w:spacing w:line="480" w:lineRule="auto"/>
        <w:jc w:val="both"/>
        <w:rPr>
          <w:color w:val="000000"/>
        </w:rPr>
      </w:pPr>
    </w:p>
    <w:p w:rsidR="006533FF" w:rsidRDefault="006533FF" w:rsidP="006533FF">
      <w:pPr>
        <w:spacing w:line="480" w:lineRule="auto"/>
        <w:jc w:val="both"/>
        <w:rPr>
          <w:rStyle w:val="Gl"/>
          <w:b w:val="0"/>
        </w:rPr>
      </w:pPr>
      <w:r w:rsidRPr="000E4F4E">
        <w:rPr>
          <w:color w:val="000000"/>
        </w:rPr>
        <w:t xml:space="preserve">During the study, no serious side effects such as </w:t>
      </w:r>
      <w:r w:rsidRPr="00206476">
        <w:rPr>
          <w:color w:val="000000"/>
        </w:rPr>
        <w:t>brad</w:t>
      </w:r>
      <w:r>
        <w:rPr>
          <w:color w:val="000000"/>
        </w:rPr>
        <w:t>y</w:t>
      </w:r>
      <w:r w:rsidRPr="00206476">
        <w:rPr>
          <w:color w:val="000000"/>
        </w:rPr>
        <w:t>cardia</w:t>
      </w:r>
      <w:r w:rsidRPr="000E4F4E">
        <w:rPr>
          <w:color w:val="000000"/>
        </w:rPr>
        <w:t xml:space="preserve">, apnea or desaturation were observed in any of the cases. </w:t>
      </w: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b w:val="0"/>
        </w:rPr>
      </w:pPr>
    </w:p>
    <w:p w:rsidR="006533FF" w:rsidRDefault="006533FF" w:rsidP="006533FF">
      <w:pPr>
        <w:spacing w:line="480" w:lineRule="auto"/>
        <w:jc w:val="both"/>
        <w:rPr>
          <w:rStyle w:val="Gl"/>
        </w:rPr>
      </w:pPr>
      <w:r w:rsidRPr="000E2E3C">
        <w:rPr>
          <w:rStyle w:val="Gl"/>
        </w:rPr>
        <w:lastRenderedPageBreak/>
        <w:t>Discussion</w:t>
      </w:r>
    </w:p>
    <w:p w:rsidR="006533FF" w:rsidRDefault="006533FF" w:rsidP="006533FF">
      <w:pPr>
        <w:spacing w:line="480" w:lineRule="auto"/>
        <w:jc w:val="both"/>
        <w:rPr>
          <w:color w:val="000000"/>
        </w:rPr>
      </w:pPr>
      <w:r w:rsidRPr="008A0772">
        <w:rPr>
          <w:color w:val="000000"/>
        </w:rPr>
        <w:t xml:space="preserve">In studies done before, the effect of midazolam premedication in anxious children’s dental treatment was </w:t>
      </w:r>
      <w:proofErr w:type="gramStart"/>
      <w:r w:rsidRPr="008A0772">
        <w:rPr>
          <w:color w:val="000000"/>
        </w:rPr>
        <w:t>indicated</w:t>
      </w:r>
      <w:r>
        <w:rPr>
          <w:color w:val="000000"/>
        </w:rPr>
        <w:t>.</w:t>
      </w:r>
      <w:r>
        <w:rPr>
          <w:color w:val="000000"/>
          <w:vertAlign w:val="superscript"/>
        </w:rPr>
        <w:t>(</w:t>
      </w:r>
      <w:proofErr w:type="gramEnd"/>
      <w:r>
        <w:rPr>
          <w:color w:val="000000"/>
          <w:vertAlign w:val="superscript"/>
        </w:rPr>
        <w:t>4,6,20</w:t>
      </w:r>
      <w:r w:rsidRPr="002B5BC7">
        <w:rPr>
          <w:color w:val="000000"/>
          <w:vertAlign w:val="superscript"/>
        </w:rPr>
        <w:t xml:space="preserve">) </w:t>
      </w:r>
      <w:r>
        <w:rPr>
          <w:color w:val="000000"/>
        </w:rPr>
        <w:t>The problem with injectable</w:t>
      </w:r>
      <w:r w:rsidRPr="002038F9">
        <w:rPr>
          <w:color w:val="000000"/>
        </w:rPr>
        <w:t xml:space="preserve"> </w:t>
      </w:r>
      <w:r>
        <w:rPr>
          <w:color w:val="000000"/>
        </w:rPr>
        <w:t>midazolam is that it is extremely bitter.</w:t>
      </w:r>
      <w:r>
        <w:rPr>
          <w:color w:val="000000"/>
          <w:vertAlign w:val="superscript"/>
        </w:rPr>
        <w:t>(1,15</w:t>
      </w:r>
      <w:r w:rsidRPr="003E5739">
        <w:rPr>
          <w:color w:val="000000"/>
          <w:vertAlign w:val="superscript"/>
        </w:rPr>
        <w:t xml:space="preserve">) </w:t>
      </w:r>
      <w:r>
        <w:rPr>
          <w:color w:val="000000"/>
        </w:rPr>
        <w:t>In addition</w:t>
      </w:r>
      <w:r w:rsidRPr="008A0772">
        <w:rPr>
          <w:color w:val="000000"/>
        </w:rPr>
        <w:t xml:space="preserve">, it is not known in detail how flavorings, added to midazolam, affect drug </w:t>
      </w:r>
      <w:r>
        <w:rPr>
          <w:color w:val="000000"/>
        </w:rPr>
        <w:t xml:space="preserve">acceptance and sedation level. In this </w:t>
      </w:r>
      <w:r w:rsidRPr="008A0772">
        <w:rPr>
          <w:color w:val="000000"/>
        </w:rPr>
        <w:t>study we found that, during the dental treatment of children with high anxiety level, when compared with</w:t>
      </w:r>
      <w:r>
        <w:rPr>
          <w:color w:val="000000"/>
        </w:rPr>
        <w:t xml:space="preserve"> no medication</w:t>
      </w:r>
      <w:r w:rsidRPr="008A0772">
        <w:rPr>
          <w:color w:val="000000"/>
        </w:rPr>
        <w:t>, the addition of fresh</w:t>
      </w:r>
      <w:r>
        <w:rPr>
          <w:color w:val="000000"/>
        </w:rPr>
        <w:t xml:space="preserve"> orange juice </w:t>
      </w:r>
      <w:r w:rsidRPr="008A0772">
        <w:rPr>
          <w:color w:val="000000"/>
        </w:rPr>
        <w:t xml:space="preserve">to midazolam administrated orally for the purpose of premedication improves drug </w:t>
      </w:r>
      <w:r>
        <w:rPr>
          <w:color w:val="000000"/>
        </w:rPr>
        <w:t>compliance</w:t>
      </w:r>
      <w:r w:rsidRPr="008A0772">
        <w:rPr>
          <w:color w:val="000000"/>
        </w:rPr>
        <w:t>, and it enables deeper sedation level in co</w:t>
      </w:r>
      <w:r>
        <w:rPr>
          <w:color w:val="000000"/>
        </w:rPr>
        <w:t xml:space="preserve">mparison with the group IV. </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proofErr w:type="spellStart"/>
      <w:r>
        <w:rPr>
          <w:color w:val="000000"/>
        </w:rPr>
        <w:t>Preopertive</w:t>
      </w:r>
      <w:proofErr w:type="spellEnd"/>
      <w:r>
        <w:rPr>
          <w:color w:val="000000"/>
        </w:rPr>
        <w:t xml:space="preserve"> oral midazolam has proved effective in treating preoperative </w:t>
      </w:r>
      <w:proofErr w:type="gramStart"/>
      <w:r>
        <w:rPr>
          <w:color w:val="000000"/>
        </w:rPr>
        <w:t>anxiety.</w:t>
      </w:r>
      <w:r w:rsidRPr="00036621">
        <w:rPr>
          <w:color w:val="000000"/>
          <w:vertAlign w:val="superscript"/>
        </w:rPr>
        <w:t>(</w:t>
      </w:r>
      <w:proofErr w:type="gramEnd"/>
      <w:r w:rsidRPr="00036621">
        <w:rPr>
          <w:color w:val="000000"/>
          <w:vertAlign w:val="superscript"/>
        </w:rPr>
        <w:t>1)</w:t>
      </w:r>
      <w:r w:rsidRPr="00036621">
        <w:rPr>
          <w:vertAlign w:val="superscript"/>
        </w:rPr>
        <w:t xml:space="preserve"> </w:t>
      </w:r>
      <w:r w:rsidRPr="002038F9">
        <w:rPr>
          <w:color w:val="000000"/>
        </w:rPr>
        <w:t>Orally administered midazolam can be given in a dose of 0.25 to 1.0 mg/kg up to a total</w:t>
      </w:r>
      <w:r>
        <w:rPr>
          <w:color w:val="000000"/>
        </w:rPr>
        <w:t xml:space="preserve"> </w:t>
      </w:r>
      <w:r w:rsidRPr="002038F9">
        <w:rPr>
          <w:color w:val="000000"/>
        </w:rPr>
        <w:t>dose of 20 mg depending on the duration of surgery and the</w:t>
      </w:r>
      <w:r>
        <w:rPr>
          <w:color w:val="000000"/>
        </w:rPr>
        <w:t xml:space="preserve"> </w:t>
      </w:r>
      <w:r w:rsidRPr="002038F9">
        <w:rPr>
          <w:color w:val="000000"/>
        </w:rPr>
        <w:t>anxiety level of the child.</w:t>
      </w:r>
      <w:r>
        <w:rPr>
          <w:color w:val="000000"/>
          <w:vertAlign w:val="superscript"/>
        </w:rPr>
        <w:t>(1,4,14</w:t>
      </w:r>
      <w:r w:rsidRPr="005D5B40">
        <w:rPr>
          <w:color w:val="000000"/>
          <w:vertAlign w:val="superscript"/>
        </w:rPr>
        <w:t xml:space="preserve">) </w:t>
      </w:r>
      <w:proofErr w:type="spellStart"/>
      <w:r w:rsidRPr="0018142B">
        <w:rPr>
          <w:color w:val="000000"/>
        </w:rPr>
        <w:t>Kaviani</w:t>
      </w:r>
      <w:proofErr w:type="spellEnd"/>
      <w:r w:rsidRPr="0018142B">
        <w:rPr>
          <w:color w:val="000000"/>
        </w:rPr>
        <w:t xml:space="preserve"> et al.</w:t>
      </w:r>
      <w:r w:rsidRPr="0018142B">
        <w:rPr>
          <w:color w:val="000000"/>
          <w:vertAlign w:val="superscript"/>
        </w:rPr>
        <w:t>(15)</w:t>
      </w:r>
      <w:r w:rsidRPr="0018142B">
        <w:rPr>
          <w:color w:val="000000"/>
        </w:rPr>
        <w:t xml:space="preserve"> </w:t>
      </w:r>
      <w:r w:rsidRPr="008A0772">
        <w:rPr>
          <w:color w:val="000000"/>
        </w:rPr>
        <w:t xml:space="preserve">was also informed that, for children with </w:t>
      </w:r>
      <w:r>
        <w:rPr>
          <w:color w:val="000000"/>
        </w:rPr>
        <w:t>high anxiety level, 0.5 mg/</w:t>
      </w:r>
      <w:r w:rsidRPr="008A0772">
        <w:rPr>
          <w:color w:val="000000"/>
        </w:rPr>
        <w:t>kg</w:t>
      </w:r>
      <w:r w:rsidRPr="00521410">
        <w:rPr>
          <w:color w:val="000000"/>
        </w:rPr>
        <w:t xml:space="preserve"> </w:t>
      </w:r>
      <w:r w:rsidRPr="008A0772">
        <w:rPr>
          <w:color w:val="000000"/>
        </w:rPr>
        <w:t>midazolam is appropriate for sedative premedication.</w:t>
      </w:r>
      <w:r>
        <w:rPr>
          <w:color w:val="000000"/>
        </w:rPr>
        <w:t xml:space="preserve"> Levine’s et </w:t>
      </w:r>
      <w:proofErr w:type="gramStart"/>
      <w:r>
        <w:rPr>
          <w:color w:val="000000"/>
        </w:rPr>
        <w:t>all.</w:t>
      </w:r>
      <w:r>
        <w:rPr>
          <w:color w:val="000000"/>
          <w:vertAlign w:val="superscript"/>
        </w:rPr>
        <w:t>(</w:t>
      </w:r>
      <w:proofErr w:type="gramEnd"/>
      <w:r>
        <w:rPr>
          <w:color w:val="000000"/>
          <w:vertAlign w:val="superscript"/>
        </w:rPr>
        <w:t>21</w:t>
      </w:r>
      <w:r w:rsidRPr="005D5B40">
        <w:rPr>
          <w:color w:val="000000"/>
          <w:vertAlign w:val="superscript"/>
        </w:rPr>
        <w:t xml:space="preserve">) </w:t>
      </w:r>
      <w:r>
        <w:rPr>
          <w:color w:val="000000"/>
          <w:vertAlign w:val="superscript"/>
        </w:rPr>
        <w:t xml:space="preserve"> </w:t>
      </w:r>
      <w:r>
        <w:rPr>
          <w:color w:val="000000"/>
        </w:rPr>
        <w:t>show the efficacy, safety and sufficiency of 0.5 mg/</w:t>
      </w:r>
      <w:r w:rsidRPr="008A0772">
        <w:rPr>
          <w:color w:val="000000"/>
        </w:rPr>
        <w:t>k</w:t>
      </w:r>
      <w:r>
        <w:rPr>
          <w:color w:val="000000"/>
        </w:rPr>
        <w:t xml:space="preserve">g. </w:t>
      </w:r>
      <w:r w:rsidRPr="008A0772">
        <w:rPr>
          <w:color w:val="000000"/>
        </w:rPr>
        <w:t>In this study, we have chosen the dose of</w:t>
      </w:r>
      <w:r>
        <w:rPr>
          <w:color w:val="000000"/>
        </w:rPr>
        <w:t xml:space="preserve"> 0.</w:t>
      </w:r>
      <w:r w:rsidRPr="008A0772">
        <w:rPr>
          <w:color w:val="000000"/>
        </w:rPr>
        <w:t xml:space="preserve">5 </w:t>
      </w:r>
      <w:r>
        <w:rPr>
          <w:color w:val="000000"/>
        </w:rPr>
        <w:t>mg/</w:t>
      </w:r>
      <w:r w:rsidRPr="00F875A4">
        <w:rPr>
          <w:color w:val="000000"/>
        </w:rPr>
        <w:t>kg</w:t>
      </w:r>
      <w:r w:rsidRPr="00521410">
        <w:rPr>
          <w:color w:val="000000"/>
        </w:rPr>
        <w:t xml:space="preserve"> </w:t>
      </w:r>
      <w:r>
        <w:rPr>
          <w:color w:val="000000"/>
        </w:rPr>
        <w:t xml:space="preserve">which </w:t>
      </w:r>
      <w:r w:rsidRPr="008A0772">
        <w:rPr>
          <w:color w:val="000000"/>
        </w:rPr>
        <w:t xml:space="preserve">we routinely use. </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5D5B40">
        <w:rPr>
          <w:color w:val="000000"/>
        </w:rPr>
        <w:t>Clinical sedative effects of midazolam occur within 5 to 10 minutes of oral midazolam administration; the maxi</w:t>
      </w:r>
      <w:r>
        <w:rPr>
          <w:color w:val="000000"/>
        </w:rPr>
        <w:t>mum effect is accomplished in 20</w:t>
      </w:r>
      <w:r w:rsidRPr="005D5B40">
        <w:rPr>
          <w:color w:val="000000"/>
        </w:rPr>
        <w:t xml:space="preserve"> to 30 minutes. The sedative effects diminish within 45 minutes in most </w:t>
      </w:r>
      <w:proofErr w:type="gramStart"/>
      <w:r w:rsidRPr="005D5B40">
        <w:rPr>
          <w:color w:val="000000"/>
        </w:rPr>
        <w:t>cases.</w:t>
      </w:r>
      <w:r w:rsidRPr="00036621">
        <w:rPr>
          <w:color w:val="000000"/>
          <w:vertAlign w:val="superscript"/>
        </w:rPr>
        <w:t>(</w:t>
      </w:r>
      <w:proofErr w:type="gramEnd"/>
      <w:r w:rsidRPr="00036621">
        <w:rPr>
          <w:color w:val="000000"/>
          <w:vertAlign w:val="superscript"/>
        </w:rPr>
        <w:t xml:space="preserve">1) </w:t>
      </w:r>
      <w:r w:rsidRPr="005D5B40">
        <w:rPr>
          <w:color w:val="000000"/>
        </w:rPr>
        <w:t xml:space="preserve">Midazolam has been administered orally in the </w:t>
      </w:r>
      <w:r>
        <w:rPr>
          <w:color w:val="000000"/>
        </w:rPr>
        <w:t>doses of 0.2-1 mg/kg, having 15</w:t>
      </w:r>
      <w:r w:rsidRPr="005D5B40">
        <w:rPr>
          <w:color w:val="000000"/>
        </w:rPr>
        <w:t>-30 minutes onset of action</w:t>
      </w:r>
      <w:r>
        <w:rPr>
          <w:color w:val="000000"/>
        </w:rPr>
        <w:t>.</w:t>
      </w:r>
      <w:r>
        <w:rPr>
          <w:color w:val="000000"/>
          <w:vertAlign w:val="superscript"/>
        </w:rPr>
        <w:t>(4,14</w:t>
      </w:r>
      <w:r w:rsidRPr="005D5B40">
        <w:rPr>
          <w:color w:val="000000"/>
          <w:vertAlign w:val="superscript"/>
        </w:rPr>
        <w:t>)</w:t>
      </w:r>
      <w:r>
        <w:rPr>
          <w:color w:val="000000"/>
        </w:rPr>
        <w:t xml:space="preserve"> </w:t>
      </w:r>
      <w:proofErr w:type="spellStart"/>
      <w:r>
        <w:rPr>
          <w:color w:val="000000"/>
        </w:rPr>
        <w:t>Malinovski</w:t>
      </w:r>
      <w:proofErr w:type="spellEnd"/>
      <w:r>
        <w:rPr>
          <w:color w:val="000000"/>
        </w:rPr>
        <w:t xml:space="preserve"> et al.</w:t>
      </w:r>
      <w:r>
        <w:rPr>
          <w:color w:val="000000"/>
          <w:vertAlign w:val="superscript"/>
        </w:rPr>
        <w:t>(22</w:t>
      </w:r>
      <w:r w:rsidRPr="00D13438">
        <w:rPr>
          <w:color w:val="000000"/>
          <w:vertAlign w:val="superscript"/>
        </w:rPr>
        <w:t xml:space="preserve">) </w:t>
      </w:r>
      <w:r w:rsidRPr="008A0772">
        <w:rPr>
          <w:color w:val="000000"/>
        </w:rPr>
        <w:t xml:space="preserve">was indicated that </w:t>
      </w:r>
      <w:r>
        <w:rPr>
          <w:color w:val="000000"/>
        </w:rPr>
        <w:t>after 0.5 mg/</w:t>
      </w:r>
      <w:r w:rsidRPr="008A0772">
        <w:rPr>
          <w:color w:val="000000"/>
        </w:rPr>
        <w:t>kg midazolam is administered orally, adequate sedation is provided in 12.5±4.9 minutes.</w:t>
      </w:r>
      <w:r>
        <w:rPr>
          <w:color w:val="000000"/>
        </w:rPr>
        <w:t xml:space="preserve"> </w:t>
      </w:r>
      <w:proofErr w:type="spellStart"/>
      <w:r>
        <w:rPr>
          <w:color w:val="000000"/>
        </w:rPr>
        <w:t>Addionally</w:t>
      </w:r>
      <w:proofErr w:type="spellEnd"/>
      <w:r>
        <w:rPr>
          <w:color w:val="000000"/>
        </w:rPr>
        <w:t xml:space="preserve">, a study determine the minimum time interval between oral midazolam premedication and separation from parents to ensure a smooth separation, researchers found that children could be easily separated from their parents after only 10 </w:t>
      </w:r>
      <w:proofErr w:type="gramStart"/>
      <w:r>
        <w:rPr>
          <w:color w:val="000000"/>
        </w:rPr>
        <w:lastRenderedPageBreak/>
        <w:t>minutes.</w:t>
      </w:r>
      <w:r w:rsidRPr="00036621">
        <w:rPr>
          <w:color w:val="000000"/>
          <w:vertAlign w:val="superscript"/>
        </w:rPr>
        <w:t>(</w:t>
      </w:r>
      <w:proofErr w:type="gramEnd"/>
      <w:r w:rsidRPr="00036621">
        <w:rPr>
          <w:color w:val="000000"/>
          <w:vertAlign w:val="superscript"/>
        </w:rPr>
        <w:t xml:space="preserve">21)  </w:t>
      </w:r>
      <w:r w:rsidRPr="008A0772">
        <w:rPr>
          <w:color w:val="000000"/>
        </w:rPr>
        <w:t>For this reason, in this study patients were separated from their parents and taken to dental unit 15 minutes after they received the drug.</w:t>
      </w:r>
    </w:p>
    <w:p w:rsidR="006533FF" w:rsidRDefault="006533FF" w:rsidP="006533FF">
      <w:pPr>
        <w:spacing w:line="480" w:lineRule="auto"/>
        <w:jc w:val="both"/>
        <w:rPr>
          <w:color w:val="000000"/>
        </w:rPr>
      </w:pPr>
    </w:p>
    <w:p w:rsidR="006533FF" w:rsidRDefault="006533FF" w:rsidP="006533FF">
      <w:pPr>
        <w:spacing w:line="480" w:lineRule="auto"/>
        <w:jc w:val="both"/>
        <w:rPr>
          <w:color w:val="000000"/>
        </w:rPr>
      </w:pPr>
      <w:r w:rsidRPr="008A0772">
        <w:rPr>
          <w:color w:val="000000"/>
        </w:rPr>
        <w:t xml:space="preserve">Patients’ anxiety levels affect the amount of sedative agent used for the purpose of adequate sedation and the sedation </w:t>
      </w:r>
      <w:proofErr w:type="gramStart"/>
      <w:r w:rsidRPr="008A0772">
        <w:rPr>
          <w:color w:val="000000"/>
        </w:rPr>
        <w:t>success</w:t>
      </w:r>
      <w:r>
        <w:rPr>
          <w:color w:val="000000"/>
        </w:rPr>
        <w:t>.</w:t>
      </w:r>
      <w:r w:rsidRPr="002A0EF6">
        <w:rPr>
          <w:color w:val="000000"/>
          <w:vertAlign w:val="superscript"/>
        </w:rPr>
        <w:t>(</w:t>
      </w:r>
      <w:proofErr w:type="gramEnd"/>
      <w:r>
        <w:rPr>
          <w:color w:val="000000"/>
          <w:vertAlign w:val="superscript"/>
        </w:rPr>
        <w:t>4,9</w:t>
      </w:r>
      <w:r w:rsidRPr="002A0EF6">
        <w:rPr>
          <w:color w:val="000000"/>
          <w:vertAlign w:val="superscript"/>
        </w:rPr>
        <w:t xml:space="preserve">) </w:t>
      </w:r>
      <w:r w:rsidRPr="008A0772">
        <w:rPr>
          <w:color w:val="000000"/>
        </w:rPr>
        <w:t>It is much more difficult to achieve sedation with the premedication given to children who have high level of agitation. Because of this reason cases who have high level of agitation (</w:t>
      </w:r>
      <w:r>
        <w:rPr>
          <w:color w:val="000000"/>
        </w:rPr>
        <w:t>FBS</w:t>
      </w:r>
      <w:r w:rsidRPr="00E87FE2">
        <w:rPr>
          <w:color w:val="000000"/>
        </w:rPr>
        <w:t>≥</w:t>
      </w:r>
      <w:r w:rsidRPr="008A0772">
        <w:rPr>
          <w:color w:val="000000"/>
        </w:rPr>
        <w:t>3</w:t>
      </w:r>
      <w:r>
        <w:rPr>
          <w:color w:val="000000"/>
        </w:rPr>
        <w:t>)</w:t>
      </w:r>
      <w:r w:rsidRPr="008A0772">
        <w:rPr>
          <w:color w:val="000000"/>
        </w:rPr>
        <w:t xml:space="preserve"> have taken part in this study.</w:t>
      </w:r>
    </w:p>
    <w:p w:rsidR="006533FF" w:rsidRDefault="006533FF" w:rsidP="006533FF">
      <w:pPr>
        <w:spacing w:line="480" w:lineRule="auto"/>
        <w:jc w:val="both"/>
        <w:rPr>
          <w:color w:val="000000"/>
        </w:rPr>
      </w:pPr>
    </w:p>
    <w:p w:rsidR="006533FF" w:rsidRDefault="006533FF" w:rsidP="006533FF">
      <w:pPr>
        <w:spacing w:line="480" w:lineRule="auto"/>
        <w:jc w:val="both"/>
        <w:rPr>
          <w:bCs/>
          <w:color w:val="000000"/>
        </w:rPr>
      </w:pPr>
      <w:r w:rsidRPr="007852AF">
        <w:rPr>
          <w:color w:val="000000"/>
        </w:rPr>
        <w:t xml:space="preserve">Total dose should be administered to achieve adequate deepness of sedation. Children </w:t>
      </w:r>
      <w:r>
        <w:rPr>
          <w:color w:val="000000"/>
        </w:rPr>
        <w:t xml:space="preserve">generally </w:t>
      </w:r>
      <w:r w:rsidRPr="007852AF">
        <w:rPr>
          <w:color w:val="000000"/>
        </w:rPr>
        <w:t xml:space="preserve">spit out or vomit the drugs which have bad taste. Because of this fact, </w:t>
      </w:r>
      <w:r w:rsidRPr="007852AF">
        <w:rPr>
          <w:bCs/>
          <w:color w:val="000000"/>
        </w:rPr>
        <w:t>in drug acceptance</w:t>
      </w:r>
      <w:r w:rsidRPr="007852AF">
        <w:rPr>
          <w:color w:val="000000"/>
        </w:rPr>
        <w:t xml:space="preserve"> by the oral route</w:t>
      </w:r>
      <w:r>
        <w:rPr>
          <w:color w:val="000000"/>
        </w:rPr>
        <w:t>,</w:t>
      </w:r>
      <w:r w:rsidRPr="007852AF">
        <w:rPr>
          <w:color w:val="000000"/>
        </w:rPr>
        <w:t xml:space="preserve"> the taste of drug plays a part </w:t>
      </w:r>
      <w:proofErr w:type="gramStart"/>
      <w:r w:rsidRPr="007852AF">
        <w:rPr>
          <w:color w:val="000000"/>
        </w:rPr>
        <w:t>too</w:t>
      </w:r>
      <w:r>
        <w:rPr>
          <w:color w:val="000000"/>
        </w:rPr>
        <w:t>.</w:t>
      </w:r>
      <w:r>
        <w:rPr>
          <w:color w:val="000000"/>
          <w:vertAlign w:val="superscript"/>
        </w:rPr>
        <w:t>(</w:t>
      </w:r>
      <w:proofErr w:type="gramEnd"/>
      <w:r>
        <w:rPr>
          <w:color w:val="000000"/>
          <w:vertAlign w:val="superscript"/>
        </w:rPr>
        <w:t>11</w:t>
      </w:r>
      <w:r w:rsidRPr="00AF1FB9">
        <w:rPr>
          <w:color w:val="000000"/>
          <w:vertAlign w:val="superscript"/>
        </w:rPr>
        <w:t xml:space="preserve">) </w:t>
      </w:r>
      <w:r>
        <w:rPr>
          <w:color w:val="000000"/>
        </w:rPr>
        <w:t xml:space="preserve">In this study, we determined that the addition of fresh orange juice into midazolam had improved drug acceptance </w:t>
      </w:r>
      <w:r>
        <w:rPr>
          <w:bCs/>
          <w:color w:val="000000"/>
        </w:rPr>
        <w:t xml:space="preserve">and convenient to use. </w:t>
      </w:r>
      <w:r>
        <w:rPr>
          <w:color w:val="000000"/>
        </w:rPr>
        <w:t>High degree of intravenous induction of anesthesia in the study group indicates the higher cooperation in this groups (I, II and III) compared to the no medication group (IV).</w:t>
      </w:r>
    </w:p>
    <w:p w:rsidR="006533FF" w:rsidRPr="006A6309" w:rsidRDefault="006533FF" w:rsidP="006533FF">
      <w:pPr>
        <w:spacing w:line="480" w:lineRule="auto"/>
        <w:jc w:val="both"/>
        <w:rPr>
          <w:bCs/>
          <w:color w:val="000000"/>
        </w:rPr>
      </w:pPr>
    </w:p>
    <w:p w:rsidR="006533FF" w:rsidRDefault="006533FF" w:rsidP="006533FF">
      <w:pPr>
        <w:spacing w:line="480" w:lineRule="auto"/>
        <w:jc w:val="both"/>
        <w:rPr>
          <w:color w:val="000000"/>
        </w:rPr>
      </w:pPr>
      <w:r>
        <w:rPr>
          <w:color w:val="000000"/>
        </w:rPr>
        <w:t xml:space="preserve">Among the factors which affect the absorption of orally administered drugs through intestinal system, the factors such as form of drugs, their oil solubility, pH of digestive system and fullness of stomach are important. Furthermore, acute fear and anxiety extends absorption of </w:t>
      </w:r>
      <w:proofErr w:type="gramStart"/>
      <w:r>
        <w:rPr>
          <w:color w:val="000000"/>
        </w:rPr>
        <w:t>drug.</w:t>
      </w:r>
      <w:r>
        <w:rPr>
          <w:color w:val="000000"/>
          <w:vertAlign w:val="superscript"/>
        </w:rPr>
        <w:t>(</w:t>
      </w:r>
      <w:proofErr w:type="gramEnd"/>
      <w:r>
        <w:rPr>
          <w:color w:val="000000"/>
          <w:vertAlign w:val="superscript"/>
        </w:rPr>
        <w:t>11</w:t>
      </w:r>
      <w:r w:rsidRPr="00AF1FB9">
        <w:rPr>
          <w:color w:val="000000"/>
          <w:vertAlign w:val="superscript"/>
        </w:rPr>
        <w:t xml:space="preserve">) </w:t>
      </w:r>
      <w:r>
        <w:rPr>
          <w:color w:val="000000"/>
        </w:rPr>
        <w:t xml:space="preserve">As we have ensured that their stomach is empty for 4-6 hours by administrating midazolam in liquid form orally to all </w:t>
      </w:r>
      <w:r w:rsidRPr="008A0772">
        <w:rPr>
          <w:color w:val="000000"/>
        </w:rPr>
        <w:t>cases who have high level of agi</w:t>
      </w:r>
      <w:r>
        <w:rPr>
          <w:color w:val="000000"/>
        </w:rPr>
        <w:t>tation (FBS</w:t>
      </w:r>
      <w:r w:rsidRPr="00F875A4">
        <w:rPr>
          <w:color w:val="000000"/>
        </w:rPr>
        <w:t>≥</w:t>
      </w:r>
      <w:r w:rsidRPr="008A0772">
        <w:rPr>
          <w:color w:val="000000"/>
        </w:rPr>
        <w:t>3</w:t>
      </w:r>
      <w:r>
        <w:rPr>
          <w:color w:val="000000"/>
        </w:rPr>
        <w:t>), we are in the opinion that there is no difference dependent on these factors which affect drug absorption among the groups.</w:t>
      </w:r>
    </w:p>
    <w:p w:rsidR="006533FF" w:rsidRDefault="006533FF" w:rsidP="006533FF">
      <w:pPr>
        <w:spacing w:line="480" w:lineRule="auto"/>
        <w:jc w:val="both"/>
        <w:rPr>
          <w:color w:val="000000"/>
        </w:rPr>
      </w:pPr>
    </w:p>
    <w:p w:rsidR="006533FF" w:rsidRDefault="006533FF" w:rsidP="006533FF">
      <w:pPr>
        <w:spacing w:line="480" w:lineRule="auto"/>
        <w:jc w:val="both"/>
      </w:pPr>
      <w:r w:rsidRPr="00ED7F0D">
        <w:t xml:space="preserve">Absorption of oral medications depends on the length of time the drug is in contact with the mucosa as well as on the local pH, the quantity and flow of saliva, and the physicochemical </w:t>
      </w:r>
      <w:r w:rsidRPr="00ED7F0D">
        <w:lastRenderedPageBreak/>
        <w:t xml:space="preserve">features of the drug and the </w:t>
      </w:r>
      <w:proofErr w:type="gramStart"/>
      <w:r w:rsidRPr="00ED7F0D">
        <w:t>site</w:t>
      </w:r>
      <w:r>
        <w:t>.</w:t>
      </w:r>
      <w:r>
        <w:rPr>
          <w:vertAlign w:val="superscript"/>
        </w:rPr>
        <w:t>(</w:t>
      </w:r>
      <w:proofErr w:type="gramEnd"/>
      <w:r>
        <w:rPr>
          <w:vertAlign w:val="superscript"/>
        </w:rPr>
        <w:t>23,24</w:t>
      </w:r>
      <w:r w:rsidRPr="00AF1FB9">
        <w:rPr>
          <w:vertAlign w:val="superscript"/>
        </w:rPr>
        <w:t xml:space="preserve">) </w:t>
      </w:r>
      <w:r w:rsidRPr="00ED7F0D">
        <w:t xml:space="preserve">At a pH of 4.0–4.5, imidazole ring of midazolam closes, making it more </w:t>
      </w:r>
      <w:r w:rsidRPr="00E87FE2">
        <w:t>lipophilic</w:t>
      </w:r>
      <w:r w:rsidRPr="00ED7F0D">
        <w:t xml:space="preserve">. The higher pH promotes lipid solubility and accelerates absorption across mucosal </w:t>
      </w:r>
      <w:proofErr w:type="gramStart"/>
      <w:r w:rsidRPr="00ED7F0D">
        <w:t>membranes</w:t>
      </w:r>
      <w:r>
        <w:t>.</w:t>
      </w:r>
      <w:r w:rsidRPr="00AF1FB9">
        <w:rPr>
          <w:vertAlign w:val="superscript"/>
        </w:rPr>
        <w:t>(</w:t>
      </w:r>
      <w:proofErr w:type="gramEnd"/>
      <w:r>
        <w:rPr>
          <w:vertAlign w:val="superscript"/>
        </w:rPr>
        <w:t>4,8</w:t>
      </w:r>
      <w:r w:rsidRPr="00AF1FB9">
        <w:rPr>
          <w:vertAlign w:val="superscript"/>
        </w:rPr>
        <w:t xml:space="preserve">) </w:t>
      </w:r>
      <w:r w:rsidRPr="00ED7F0D">
        <w:t>Thus, mucosal absorption of midazolam is expect</w:t>
      </w:r>
      <w:r>
        <w:t>ed to be pH dependent.</w:t>
      </w:r>
      <w:r w:rsidRPr="00AF1FB9">
        <w:rPr>
          <w:vertAlign w:val="superscript"/>
        </w:rPr>
        <w:t>(</w:t>
      </w:r>
      <w:r>
        <w:rPr>
          <w:vertAlign w:val="superscript"/>
        </w:rPr>
        <w:t>4,8,9,11,16,25</w:t>
      </w:r>
      <w:r w:rsidRPr="00AF1FB9">
        <w:rPr>
          <w:vertAlign w:val="superscript"/>
        </w:rPr>
        <w:t xml:space="preserve">) </w:t>
      </w:r>
      <w:r w:rsidRPr="00ED7F0D">
        <w:t xml:space="preserve">In a study of 40 </w:t>
      </w:r>
      <w:proofErr w:type="spellStart"/>
      <w:r w:rsidRPr="00ED7F0D">
        <w:t>presurgical</w:t>
      </w:r>
      <w:proofErr w:type="spellEnd"/>
      <w:r w:rsidRPr="00ED7F0D">
        <w:t xml:space="preserve"> children</w:t>
      </w:r>
      <w:r>
        <w:t>,</w:t>
      </w:r>
      <w:r>
        <w:rPr>
          <w:vertAlign w:val="superscript"/>
        </w:rPr>
        <w:t>(8</w:t>
      </w:r>
      <w:r w:rsidRPr="00AF1FB9">
        <w:rPr>
          <w:vertAlign w:val="superscript"/>
        </w:rPr>
        <w:t xml:space="preserve">) </w:t>
      </w:r>
      <w:r w:rsidRPr="00ED7F0D">
        <w:t xml:space="preserve">midazolam was mixed with sodium citrate to raise the pH to </w:t>
      </w:r>
      <w:smartTag w:uri="urn:schemas-microsoft-com:office:smarttags" w:element="metricconverter">
        <w:smartTagPr>
          <w:attr w:name="ProductID" w:val="4.5 in"/>
        </w:smartTagPr>
        <w:r w:rsidRPr="00ED7F0D">
          <w:t>4.5 in</w:t>
        </w:r>
      </w:smartTag>
      <w:r w:rsidRPr="00ED7F0D">
        <w:t xml:space="preserve"> one group, and the onset of sedation was significantly faster (p&lt;0.05) than in a second group that </w:t>
      </w:r>
      <w:r w:rsidRPr="00DB701E">
        <w:t xml:space="preserve">received midazolam mixed with Hawaiian Punch (pH 3.5). In another study, it is indicated that thick grape syrup mixed with midazolam had reduced sedation </w:t>
      </w:r>
      <w:proofErr w:type="gramStart"/>
      <w:r w:rsidRPr="00DB701E">
        <w:t>time</w:t>
      </w:r>
      <w:r>
        <w:t>.</w:t>
      </w:r>
      <w:r>
        <w:rPr>
          <w:vertAlign w:val="superscript"/>
        </w:rPr>
        <w:t>(</w:t>
      </w:r>
      <w:proofErr w:type="gramEnd"/>
      <w:r>
        <w:rPr>
          <w:vertAlign w:val="superscript"/>
        </w:rPr>
        <w:t>5</w:t>
      </w:r>
      <w:r w:rsidRPr="00AF1FB9">
        <w:rPr>
          <w:vertAlign w:val="superscript"/>
        </w:rPr>
        <w:t xml:space="preserve">)  </w:t>
      </w:r>
      <w:r w:rsidRPr="00DB701E">
        <w:t xml:space="preserve">In this study, besides onset of sedation was not measured, we found </w:t>
      </w:r>
      <w:r>
        <w:t>that with other workers in I,II and III groups 15 min after drug ingestion, sedation scores measured with RSS were higher than the no medication group.</w:t>
      </w:r>
    </w:p>
    <w:p w:rsidR="006533FF" w:rsidRPr="00AF1FB9" w:rsidRDefault="006533FF" w:rsidP="006533FF">
      <w:pPr>
        <w:spacing w:line="480" w:lineRule="auto"/>
        <w:jc w:val="both"/>
      </w:pPr>
    </w:p>
    <w:p w:rsidR="006533FF" w:rsidRDefault="006533FF" w:rsidP="006533FF">
      <w:pPr>
        <w:spacing w:line="480" w:lineRule="auto"/>
        <w:jc w:val="both"/>
      </w:pPr>
      <w:r w:rsidRPr="00DB701E">
        <w:rPr>
          <w:bCs/>
          <w:color w:val="000000"/>
        </w:rPr>
        <w:t>It is noted that as</w:t>
      </w:r>
      <w:r w:rsidRPr="00DB701E">
        <w:rPr>
          <w:b/>
          <w:bCs/>
          <w:color w:val="000000"/>
        </w:rPr>
        <w:t xml:space="preserve"> </w:t>
      </w:r>
      <w:r w:rsidRPr="003308C2">
        <w:rPr>
          <w:bCs/>
          <w:color w:val="000000"/>
        </w:rPr>
        <w:t xml:space="preserve">fresh </w:t>
      </w:r>
      <w:r w:rsidRPr="00DB701E">
        <w:t xml:space="preserve">grapefruit juice potently inhibits </w:t>
      </w:r>
      <w:r w:rsidRPr="00753F30">
        <w:rPr>
          <w:color w:val="000000"/>
        </w:rPr>
        <w:t>cytochrome</w:t>
      </w:r>
      <w:r w:rsidRPr="00DB701E">
        <w:rPr>
          <w:color w:val="000000"/>
        </w:rPr>
        <w:t xml:space="preserve"> </w:t>
      </w:r>
      <w:r w:rsidRPr="00DB701E">
        <w:rPr>
          <w:bCs/>
          <w:color w:val="000000"/>
        </w:rPr>
        <w:t>P4503A4</w:t>
      </w:r>
      <w:r w:rsidRPr="00DB701E">
        <w:rPr>
          <w:color w:val="000000"/>
        </w:rPr>
        <w:t xml:space="preserve"> (CYP3A4) </w:t>
      </w:r>
      <w:r w:rsidRPr="00DB701E">
        <w:t xml:space="preserve">activity, it extends the duration of the effect of midazolam and also slows the catabolism. On this grounds, as it may result in over-sedation midazolam should not be mixed with </w:t>
      </w:r>
      <w:r>
        <w:t xml:space="preserve">fresh </w:t>
      </w:r>
      <w:r w:rsidRPr="00DB701E">
        <w:t>grapefruit juice</w:t>
      </w:r>
      <w:r>
        <w:t>.</w:t>
      </w:r>
      <w:r>
        <w:rPr>
          <w:vertAlign w:val="superscript"/>
        </w:rPr>
        <w:t>(10,26</w:t>
      </w:r>
      <w:r w:rsidRPr="00AF1FB9">
        <w:rPr>
          <w:vertAlign w:val="superscript"/>
        </w:rPr>
        <w:t xml:space="preserve">) </w:t>
      </w:r>
      <w:r w:rsidRPr="00DB701E">
        <w:t xml:space="preserve">On the other hand, we found that RSS data of the group which was given </w:t>
      </w:r>
      <w:r>
        <w:t xml:space="preserve">fresh </w:t>
      </w:r>
      <w:r w:rsidRPr="00DB701E">
        <w:t xml:space="preserve">grapefruit juice, are not different from the groups given </w:t>
      </w:r>
      <w:r>
        <w:t xml:space="preserve">fresh orange </w:t>
      </w:r>
      <w:r w:rsidRPr="00DB701E">
        <w:t xml:space="preserve">juice in the study. We are of the opinion that besides the low quantity of </w:t>
      </w:r>
      <w:r>
        <w:t xml:space="preserve">fresh </w:t>
      </w:r>
      <w:r w:rsidRPr="00DB701E">
        <w:t>grapefruit juice, the low pH value of the mixture was also effective in this situation.</w:t>
      </w:r>
    </w:p>
    <w:p w:rsidR="006533FF" w:rsidRDefault="006533FF" w:rsidP="006533FF">
      <w:pPr>
        <w:spacing w:line="480" w:lineRule="auto"/>
        <w:jc w:val="both"/>
      </w:pPr>
    </w:p>
    <w:p w:rsidR="006533FF" w:rsidRPr="003E5739" w:rsidRDefault="006533FF" w:rsidP="006533FF">
      <w:pPr>
        <w:spacing w:line="480" w:lineRule="auto"/>
        <w:jc w:val="both"/>
      </w:pPr>
      <w:r w:rsidRPr="006A6309">
        <w:t>Compared to other benzodiazepine and non</w:t>
      </w:r>
      <w:r>
        <w:t>-</w:t>
      </w:r>
      <w:r w:rsidRPr="006A6309">
        <w:t>benzodiazepine medications, midazolam is reported to be equally or more effective when used as premedic</w:t>
      </w:r>
      <w:r>
        <w:t>ation/preoperative sedation</w:t>
      </w:r>
      <w:r w:rsidRPr="006A6309">
        <w:t>.</w:t>
      </w:r>
      <w:r>
        <w:rPr>
          <w:vertAlign w:val="superscript"/>
        </w:rPr>
        <w:t>(27</w:t>
      </w:r>
      <w:r w:rsidRPr="003E5739">
        <w:rPr>
          <w:vertAlign w:val="superscript"/>
        </w:rPr>
        <w:t xml:space="preserve">) </w:t>
      </w:r>
      <w:r w:rsidRPr="006A6309">
        <w:t>The premedication with midazolam does not prolong the discharge time from the hospital and its effectiveness and safety have be</w:t>
      </w:r>
      <w:r>
        <w:t>en extensively studied.</w:t>
      </w:r>
      <w:r w:rsidRPr="003E5739">
        <w:rPr>
          <w:vertAlign w:val="superscript"/>
        </w:rPr>
        <w:t>(</w:t>
      </w:r>
      <w:r>
        <w:rPr>
          <w:vertAlign w:val="superscript"/>
        </w:rPr>
        <w:t>14,15,21</w:t>
      </w:r>
      <w:r w:rsidRPr="003E5739">
        <w:rPr>
          <w:vertAlign w:val="superscript"/>
        </w:rPr>
        <w:t>)</w:t>
      </w:r>
      <w:r>
        <w:t xml:space="preserve"> In this study, in line with other studies </w:t>
      </w:r>
      <w:r>
        <w:rPr>
          <w:vertAlign w:val="superscript"/>
        </w:rPr>
        <w:t>(15,21</w:t>
      </w:r>
      <w:r w:rsidRPr="003E5739">
        <w:rPr>
          <w:vertAlign w:val="superscript"/>
        </w:rPr>
        <w:t>)</w:t>
      </w:r>
      <w:r>
        <w:t xml:space="preserve">, showed that the ease of separation from parents was better in the study who received the midazolam compared to the no medication group IV.  </w:t>
      </w:r>
      <w:r w:rsidRPr="00DB701E">
        <w:t xml:space="preserve">It is known that, even if it </w:t>
      </w:r>
      <w:r w:rsidRPr="00DB701E">
        <w:lastRenderedPageBreak/>
        <w:t xml:space="preserve">rarely happens, </w:t>
      </w:r>
      <w:r w:rsidRPr="00DB701E">
        <w:rPr>
          <w:bCs/>
          <w:color w:val="000000"/>
        </w:rPr>
        <w:t>respiratory</w:t>
      </w:r>
      <w:r w:rsidRPr="00DB701E">
        <w:rPr>
          <w:color w:val="000000"/>
        </w:rPr>
        <w:t xml:space="preserve"> </w:t>
      </w:r>
      <w:r>
        <w:rPr>
          <w:bCs/>
          <w:color w:val="000000"/>
        </w:rPr>
        <w:t>d</w:t>
      </w:r>
      <w:r w:rsidRPr="00DB701E">
        <w:rPr>
          <w:bCs/>
          <w:color w:val="000000"/>
        </w:rPr>
        <w:t>epression may dev</w:t>
      </w:r>
      <w:r>
        <w:rPr>
          <w:bCs/>
          <w:color w:val="000000"/>
        </w:rPr>
        <w:t>elop in oral midazolam sedation.</w:t>
      </w:r>
      <w:r>
        <w:rPr>
          <w:bCs/>
          <w:color w:val="000000"/>
          <w:vertAlign w:val="superscript"/>
        </w:rPr>
        <w:t>(9</w:t>
      </w:r>
      <w:r w:rsidRPr="00AF1FB9">
        <w:rPr>
          <w:bCs/>
          <w:color w:val="000000"/>
          <w:vertAlign w:val="superscript"/>
        </w:rPr>
        <w:t xml:space="preserve">) </w:t>
      </w:r>
      <w:r w:rsidRPr="00DB701E">
        <w:rPr>
          <w:bCs/>
          <w:color w:val="000000"/>
        </w:rPr>
        <w:t xml:space="preserve">In this study desaturation was not seen in cases </w:t>
      </w:r>
      <w:r>
        <w:rPr>
          <w:bCs/>
          <w:color w:val="000000"/>
        </w:rPr>
        <w:t xml:space="preserve">which were under observation. </w:t>
      </w:r>
    </w:p>
    <w:p w:rsidR="006533FF" w:rsidRDefault="006533FF" w:rsidP="006533FF">
      <w:pPr>
        <w:spacing w:line="480" w:lineRule="auto"/>
        <w:jc w:val="both"/>
      </w:pPr>
    </w:p>
    <w:p w:rsidR="006533FF" w:rsidRPr="00DB701E" w:rsidRDefault="006533FF" w:rsidP="006533FF">
      <w:pPr>
        <w:spacing w:line="480" w:lineRule="auto"/>
        <w:jc w:val="both"/>
      </w:pPr>
      <w:r>
        <w:t>In conclusion</w:t>
      </w:r>
      <w:r w:rsidRPr="00DB701E">
        <w:t>;</w:t>
      </w:r>
      <w:r>
        <w:t xml:space="preserve"> the present study showed that </w:t>
      </w:r>
      <w:r>
        <w:rPr>
          <w:color w:val="000000"/>
        </w:rPr>
        <w:t>0.5 mg/</w:t>
      </w:r>
      <w:r w:rsidRPr="008A0772">
        <w:rPr>
          <w:color w:val="000000"/>
        </w:rPr>
        <w:t>kg</w:t>
      </w:r>
      <w:r>
        <w:rPr>
          <w:color w:val="000000"/>
          <w:vertAlign w:val="superscript"/>
        </w:rPr>
        <w:t xml:space="preserve"> </w:t>
      </w:r>
      <w:r>
        <w:rPr>
          <w:color w:val="000000"/>
        </w:rPr>
        <w:t>oral midazolam 15 minutes before starting the process of anesthesia makes the separation of child from parents easy. It also has positive effect on the cooperation of child with anesthesiologist, and prevents the child from recalling the pre-anesthetic events. Additionally,</w:t>
      </w:r>
      <w:r w:rsidRPr="00DB701E">
        <w:t xml:space="preserve"> children accepted oral midazolam with </w:t>
      </w:r>
      <w:r>
        <w:t xml:space="preserve">fresh orange juice more than fresh </w:t>
      </w:r>
      <w:r w:rsidRPr="00DB701E">
        <w:t>grapefruit juice</w:t>
      </w:r>
      <w:r>
        <w:t xml:space="preserve"> and only midazolam</w:t>
      </w:r>
      <w:r w:rsidRPr="00DB701E">
        <w:t>, and it was safe and efficacious (RSS), with physiological parameters remaining within acceptable clinical limits.</w:t>
      </w: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p>
    <w:p w:rsidR="006533FF" w:rsidRDefault="006533FF" w:rsidP="006533FF">
      <w:pPr>
        <w:spacing w:line="480" w:lineRule="auto"/>
        <w:rPr>
          <w:b/>
          <w:szCs w:val="20"/>
        </w:rPr>
      </w:pPr>
      <w:r>
        <w:rPr>
          <w:b/>
          <w:szCs w:val="20"/>
        </w:rPr>
        <w:lastRenderedPageBreak/>
        <w:t>References</w:t>
      </w:r>
    </w:p>
    <w:p w:rsidR="006533FF" w:rsidRDefault="006533FF" w:rsidP="006533FF">
      <w:pPr>
        <w:pStyle w:val="ListeParagraf"/>
        <w:numPr>
          <w:ilvl w:val="0"/>
          <w:numId w:val="1"/>
        </w:numPr>
        <w:spacing w:line="480" w:lineRule="auto"/>
        <w:jc w:val="both"/>
      </w:pPr>
      <w:proofErr w:type="spellStart"/>
      <w:r w:rsidRPr="00E06382">
        <w:t>Sheta</w:t>
      </w:r>
      <w:proofErr w:type="spellEnd"/>
      <w:r w:rsidRPr="00E06382">
        <w:t xml:space="preserve"> SA, </w:t>
      </w:r>
      <w:proofErr w:type="spellStart"/>
      <w:r w:rsidRPr="00E06382">
        <w:t>Alsarheed</w:t>
      </w:r>
      <w:proofErr w:type="spellEnd"/>
      <w:r w:rsidRPr="00E06382">
        <w:t xml:space="preserve"> M. Oral midazolam premedication for children undergoing general </w:t>
      </w:r>
      <w:proofErr w:type="spellStart"/>
      <w:r w:rsidRPr="00E06382">
        <w:t>anaesthesia</w:t>
      </w:r>
      <w:proofErr w:type="spellEnd"/>
      <w:r w:rsidRPr="00E06382">
        <w:t xml:space="preserve"> for dental care. </w:t>
      </w:r>
      <w:proofErr w:type="spellStart"/>
      <w:r w:rsidRPr="00E06382">
        <w:t>Int</w:t>
      </w:r>
      <w:proofErr w:type="spellEnd"/>
      <w:r w:rsidRPr="00E06382">
        <w:t xml:space="preserve"> J </w:t>
      </w:r>
      <w:proofErr w:type="spellStart"/>
      <w:r w:rsidRPr="00E06382">
        <w:t>Pediatr</w:t>
      </w:r>
      <w:proofErr w:type="spellEnd"/>
      <w:r w:rsidRPr="00E06382">
        <w:t xml:space="preserve"> 2009; 2009: 274380.</w:t>
      </w:r>
    </w:p>
    <w:p w:rsidR="006533FF" w:rsidRDefault="006533FF" w:rsidP="006533FF">
      <w:pPr>
        <w:pStyle w:val="ListeParagraf"/>
        <w:numPr>
          <w:ilvl w:val="0"/>
          <w:numId w:val="1"/>
        </w:numPr>
        <w:spacing w:line="480" w:lineRule="auto"/>
        <w:jc w:val="both"/>
      </w:pPr>
      <w:r w:rsidRPr="0040776F">
        <w:t xml:space="preserve">Day PF, Power AM, </w:t>
      </w:r>
      <w:proofErr w:type="spellStart"/>
      <w:r w:rsidRPr="0040776F">
        <w:t>Hibbert</w:t>
      </w:r>
      <w:proofErr w:type="spellEnd"/>
      <w:r w:rsidRPr="0040776F">
        <w:t xml:space="preserve"> SA, Paterson SA. Effectiveness of </w:t>
      </w:r>
      <w:r w:rsidRPr="00A40F44">
        <w:t xml:space="preserve">oral midazolam for </w:t>
      </w:r>
      <w:proofErr w:type="spellStart"/>
      <w:r w:rsidRPr="00A40F44">
        <w:t>paediatric</w:t>
      </w:r>
      <w:proofErr w:type="spellEnd"/>
      <w:r w:rsidRPr="00A40F44">
        <w:t xml:space="preserve"> dental care: A retrospective study in two specialist </w:t>
      </w:r>
      <w:proofErr w:type="spellStart"/>
      <w:r>
        <w:t>centres</w:t>
      </w:r>
      <w:proofErr w:type="spellEnd"/>
      <w:r>
        <w:t xml:space="preserve">. </w:t>
      </w:r>
      <w:proofErr w:type="spellStart"/>
      <w:r>
        <w:t>Eur</w:t>
      </w:r>
      <w:proofErr w:type="spellEnd"/>
      <w:r>
        <w:t xml:space="preserve"> Arch </w:t>
      </w:r>
      <w:proofErr w:type="spellStart"/>
      <w:r>
        <w:t>Paediatr</w:t>
      </w:r>
      <w:proofErr w:type="spellEnd"/>
      <w:r>
        <w:t xml:space="preserve"> Dent</w:t>
      </w:r>
      <w:r w:rsidRPr="00A40F44">
        <w:t xml:space="preserve"> 2006;</w:t>
      </w:r>
      <w:r>
        <w:t xml:space="preserve"> 7</w:t>
      </w:r>
      <w:r w:rsidRPr="00A40F44">
        <w:t>:</w:t>
      </w:r>
      <w:r>
        <w:t xml:space="preserve"> 228-2</w:t>
      </w:r>
      <w:r w:rsidRPr="00A40F44">
        <w:t>35.</w:t>
      </w:r>
    </w:p>
    <w:p w:rsidR="006533FF" w:rsidRPr="00A40F44" w:rsidRDefault="006533FF" w:rsidP="006533FF">
      <w:pPr>
        <w:pStyle w:val="ListeParagraf"/>
        <w:numPr>
          <w:ilvl w:val="0"/>
          <w:numId w:val="1"/>
        </w:numPr>
        <w:spacing w:line="480" w:lineRule="auto"/>
        <w:jc w:val="both"/>
      </w:pPr>
      <w:proofErr w:type="spellStart"/>
      <w:r w:rsidRPr="00A40F44">
        <w:t>Erlandsson</w:t>
      </w:r>
      <w:proofErr w:type="spellEnd"/>
      <w:r w:rsidRPr="00A40F44">
        <w:t xml:space="preserve"> AL, Backman B, </w:t>
      </w:r>
      <w:proofErr w:type="spellStart"/>
      <w:r w:rsidRPr="00A40F44">
        <w:t>Stenstrom</w:t>
      </w:r>
      <w:proofErr w:type="spellEnd"/>
      <w:r w:rsidRPr="00A40F44">
        <w:t xml:space="preserve"> A, </w:t>
      </w:r>
      <w:proofErr w:type="spellStart"/>
      <w:r w:rsidRPr="00A40F44">
        <w:t>Stecksen-Blicks</w:t>
      </w:r>
      <w:proofErr w:type="spellEnd"/>
      <w:r w:rsidRPr="00A40F44">
        <w:t xml:space="preserve"> C. Conscious sedation by oral administration of midazolam in </w:t>
      </w:r>
      <w:proofErr w:type="spellStart"/>
      <w:r w:rsidRPr="00A40F44">
        <w:t>paediatric</w:t>
      </w:r>
      <w:proofErr w:type="spellEnd"/>
      <w:r w:rsidRPr="00A40F44">
        <w:t xml:space="preserve"> dental</w:t>
      </w:r>
      <w:r>
        <w:t xml:space="preserve"> </w:t>
      </w:r>
      <w:r w:rsidRPr="00A40F44">
        <w:t>treatment.</w:t>
      </w:r>
      <w:r>
        <w:t xml:space="preserve"> </w:t>
      </w:r>
      <w:proofErr w:type="spellStart"/>
      <w:r>
        <w:t>Swed</w:t>
      </w:r>
      <w:proofErr w:type="spellEnd"/>
      <w:r>
        <w:t xml:space="preserve"> Dent J </w:t>
      </w:r>
      <w:r w:rsidRPr="00A40F44">
        <w:t>2001;</w:t>
      </w:r>
      <w:r>
        <w:t xml:space="preserve"> 25</w:t>
      </w:r>
      <w:r w:rsidRPr="00A40F44">
        <w:t>:</w:t>
      </w:r>
      <w:r>
        <w:t xml:space="preserve"> </w:t>
      </w:r>
      <w:r w:rsidRPr="00A40F44">
        <w:t>97-104.</w:t>
      </w:r>
    </w:p>
    <w:p w:rsidR="006533FF" w:rsidRPr="00E3703A" w:rsidRDefault="006533FF" w:rsidP="006533FF">
      <w:pPr>
        <w:pStyle w:val="ListeParagraf"/>
        <w:numPr>
          <w:ilvl w:val="0"/>
          <w:numId w:val="1"/>
        </w:numPr>
        <w:spacing w:line="480" w:lineRule="auto"/>
        <w:jc w:val="both"/>
      </w:pPr>
      <w:proofErr w:type="spellStart"/>
      <w:r>
        <w:t>Isik</w:t>
      </w:r>
      <w:proofErr w:type="spellEnd"/>
      <w:r>
        <w:t xml:space="preserve"> B, Baygin O, </w:t>
      </w:r>
      <w:proofErr w:type="spellStart"/>
      <w:r>
        <w:t>Bodur</w:t>
      </w:r>
      <w:proofErr w:type="spellEnd"/>
      <w:r>
        <w:t xml:space="preserve"> H. Effect of drinks that are added as flavoring in oral midazolam premedication on sedation success. </w:t>
      </w:r>
      <w:proofErr w:type="spellStart"/>
      <w:r>
        <w:t>Paediatr</w:t>
      </w:r>
      <w:proofErr w:type="spellEnd"/>
      <w:r>
        <w:t xml:space="preserve"> </w:t>
      </w:r>
      <w:proofErr w:type="spellStart"/>
      <w:r>
        <w:t>Anaesth</w:t>
      </w:r>
      <w:proofErr w:type="spellEnd"/>
      <w:r>
        <w:t xml:space="preserve"> 2008; 18: 494-500.</w:t>
      </w:r>
    </w:p>
    <w:p w:rsidR="006533FF" w:rsidRPr="00A40F44" w:rsidRDefault="006533FF" w:rsidP="006533FF">
      <w:pPr>
        <w:pStyle w:val="ListeParagraf"/>
        <w:numPr>
          <w:ilvl w:val="0"/>
          <w:numId w:val="1"/>
        </w:numPr>
        <w:spacing w:line="480" w:lineRule="auto"/>
        <w:jc w:val="both"/>
      </w:pPr>
      <w:r w:rsidRPr="00E3703A">
        <w:t xml:space="preserve">Khalil SN, </w:t>
      </w:r>
      <w:proofErr w:type="spellStart"/>
      <w:r w:rsidRPr="00E3703A">
        <w:t>Vije</w:t>
      </w:r>
      <w:proofErr w:type="spellEnd"/>
      <w:r w:rsidRPr="00E3703A">
        <w:t xml:space="preserve"> HN, </w:t>
      </w:r>
      <w:proofErr w:type="spellStart"/>
      <w:r w:rsidRPr="00E3703A">
        <w:t>Kee</w:t>
      </w:r>
      <w:proofErr w:type="spellEnd"/>
      <w:r w:rsidRPr="00E3703A">
        <w:t xml:space="preserve"> SS, </w:t>
      </w:r>
      <w:proofErr w:type="spellStart"/>
      <w:r w:rsidRPr="00E3703A">
        <w:t>Farag</w:t>
      </w:r>
      <w:proofErr w:type="spellEnd"/>
      <w:r w:rsidRPr="00E3703A">
        <w:t xml:space="preserve"> A, Hanna E, Chuang AZ. </w:t>
      </w:r>
      <w:r w:rsidRPr="00A40F44">
        <w:t xml:space="preserve">A </w:t>
      </w:r>
      <w:proofErr w:type="spellStart"/>
      <w:r w:rsidRPr="00A40F44">
        <w:t>paediatric</w:t>
      </w:r>
      <w:proofErr w:type="spellEnd"/>
      <w:r w:rsidRPr="00A40F44">
        <w:t xml:space="preserve"> trial comparing midazolam/</w:t>
      </w:r>
      <w:proofErr w:type="spellStart"/>
      <w:r w:rsidRPr="00A40F44">
        <w:t>Syrpalta</w:t>
      </w:r>
      <w:proofErr w:type="spellEnd"/>
      <w:r w:rsidRPr="00A40F44">
        <w:t xml:space="preserve"> mixture with premixed midazolam</w:t>
      </w:r>
      <w:r>
        <w:t xml:space="preserve"> syrup</w:t>
      </w:r>
      <w:r w:rsidRPr="00A40F44">
        <w:t>.</w:t>
      </w:r>
      <w:r>
        <w:t xml:space="preserve"> </w:t>
      </w:r>
      <w:proofErr w:type="spellStart"/>
      <w:r>
        <w:t>Paediatr</w:t>
      </w:r>
      <w:proofErr w:type="spellEnd"/>
      <w:r>
        <w:t xml:space="preserve"> </w:t>
      </w:r>
      <w:proofErr w:type="spellStart"/>
      <w:r>
        <w:t>Anaesth</w:t>
      </w:r>
      <w:proofErr w:type="spellEnd"/>
      <w:r>
        <w:t xml:space="preserve"> 2003</w:t>
      </w:r>
      <w:r w:rsidRPr="00A40F44">
        <w:t>;</w:t>
      </w:r>
      <w:r>
        <w:t xml:space="preserve"> 13</w:t>
      </w:r>
      <w:r w:rsidRPr="00A40F44">
        <w:t>:</w:t>
      </w:r>
      <w:r>
        <w:t xml:space="preserve"> </w:t>
      </w:r>
      <w:r w:rsidRPr="00A40F44">
        <w:t>205-</w:t>
      </w:r>
      <w:r>
        <w:t>20</w:t>
      </w:r>
      <w:r w:rsidRPr="00A40F44">
        <w:t>9.</w:t>
      </w:r>
    </w:p>
    <w:p w:rsidR="006533FF" w:rsidRPr="00A40F44" w:rsidRDefault="006533FF" w:rsidP="006533FF">
      <w:pPr>
        <w:pStyle w:val="ListeParagraf"/>
        <w:numPr>
          <w:ilvl w:val="0"/>
          <w:numId w:val="1"/>
        </w:numPr>
        <w:spacing w:line="480" w:lineRule="auto"/>
        <w:jc w:val="both"/>
      </w:pPr>
      <w:proofErr w:type="spellStart"/>
      <w:r w:rsidRPr="00A40F44">
        <w:t>Brosius</w:t>
      </w:r>
      <w:proofErr w:type="spellEnd"/>
      <w:r w:rsidRPr="00A40F44">
        <w:t xml:space="preserve"> KK, Bannister CF.  Midazolam premedication in children: a comparison of two oral dosage</w:t>
      </w:r>
      <w:r>
        <w:t xml:space="preserve"> </w:t>
      </w:r>
      <w:r w:rsidRPr="00A40F44">
        <w:t>formulations on sedation score and plasma midazolam levels.</w:t>
      </w:r>
      <w:r>
        <w:t xml:space="preserve"> </w:t>
      </w:r>
      <w:proofErr w:type="spellStart"/>
      <w:r>
        <w:t>Anesth</w:t>
      </w:r>
      <w:proofErr w:type="spellEnd"/>
      <w:r>
        <w:t xml:space="preserve"> </w:t>
      </w:r>
      <w:proofErr w:type="spellStart"/>
      <w:r>
        <w:t>Analg</w:t>
      </w:r>
      <w:proofErr w:type="spellEnd"/>
      <w:r>
        <w:t xml:space="preserve"> 2003</w:t>
      </w:r>
      <w:r w:rsidRPr="00A40F44">
        <w:t>;</w:t>
      </w:r>
      <w:r>
        <w:t xml:space="preserve"> 96</w:t>
      </w:r>
      <w:r w:rsidRPr="00A40F44">
        <w:t>:</w:t>
      </w:r>
      <w:r>
        <w:t xml:space="preserve"> </w:t>
      </w:r>
      <w:r w:rsidRPr="00A40F44">
        <w:t>392-</w:t>
      </w:r>
      <w:r>
        <w:t>39</w:t>
      </w:r>
      <w:r w:rsidRPr="00A40F44">
        <w:t>5</w:t>
      </w:r>
      <w:r>
        <w:t>.</w:t>
      </w:r>
    </w:p>
    <w:p w:rsidR="006533FF" w:rsidRDefault="006533FF" w:rsidP="006533FF">
      <w:pPr>
        <w:pStyle w:val="ListeParagraf"/>
        <w:numPr>
          <w:ilvl w:val="0"/>
          <w:numId w:val="1"/>
        </w:numPr>
        <w:spacing w:line="480" w:lineRule="auto"/>
        <w:jc w:val="both"/>
      </w:pPr>
      <w:proofErr w:type="spellStart"/>
      <w:r w:rsidRPr="00A40F44">
        <w:t>Brosius</w:t>
      </w:r>
      <w:proofErr w:type="spellEnd"/>
      <w:r w:rsidRPr="00A40F44">
        <w:t xml:space="preserve"> KK, Bannister CF. Oral midazolam premedi</w:t>
      </w:r>
      <w:r>
        <w:t xml:space="preserve">cation in preadolescents and </w:t>
      </w:r>
      <w:r w:rsidRPr="00A40F44">
        <w:t>adolescents.</w:t>
      </w:r>
      <w:r>
        <w:t xml:space="preserve"> </w:t>
      </w:r>
      <w:proofErr w:type="spellStart"/>
      <w:r>
        <w:t>Anesth</w:t>
      </w:r>
      <w:proofErr w:type="spellEnd"/>
      <w:r>
        <w:t xml:space="preserve"> </w:t>
      </w:r>
      <w:proofErr w:type="spellStart"/>
      <w:r>
        <w:t>Analg</w:t>
      </w:r>
      <w:proofErr w:type="spellEnd"/>
      <w:r>
        <w:t xml:space="preserve"> 2002</w:t>
      </w:r>
      <w:r w:rsidRPr="00A40F44">
        <w:t>;</w:t>
      </w:r>
      <w:r>
        <w:t xml:space="preserve"> 94</w:t>
      </w:r>
      <w:r w:rsidRPr="00A40F44">
        <w:t>:</w:t>
      </w:r>
      <w:r>
        <w:t xml:space="preserve"> </w:t>
      </w:r>
      <w:r w:rsidRPr="00A40F44">
        <w:t>31-</w:t>
      </w:r>
      <w:r>
        <w:t>36.</w:t>
      </w:r>
      <w:r w:rsidRPr="00A40F44">
        <w:t xml:space="preserve"> </w:t>
      </w:r>
    </w:p>
    <w:p w:rsidR="006533FF" w:rsidRDefault="006533FF" w:rsidP="006533FF">
      <w:pPr>
        <w:pStyle w:val="ListeParagraf"/>
        <w:numPr>
          <w:ilvl w:val="0"/>
          <w:numId w:val="1"/>
        </w:numPr>
        <w:spacing w:line="480" w:lineRule="auto"/>
        <w:jc w:val="both"/>
      </w:pPr>
      <w:proofErr w:type="spellStart"/>
      <w:r w:rsidRPr="008E662E">
        <w:t>Lammers</w:t>
      </w:r>
      <w:proofErr w:type="spellEnd"/>
      <w:r w:rsidRPr="008E662E">
        <w:t xml:space="preserve"> CR, </w:t>
      </w:r>
      <w:proofErr w:type="spellStart"/>
      <w:r w:rsidRPr="008E662E">
        <w:t>Rosner</w:t>
      </w:r>
      <w:proofErr w:type="spellEnd"/>
      <w:r w:rsidRPr="008E662E">
        <w:t xml:space="preserve"> JL, Crockett DE, </w:t>
      </w:r>
      <w:proofErr w:type="spellStart"/>
      <w:r w:rsidRPr="008E662E">
        <w:t>Chhokra</w:t>
      </w:r>
      <w:proofErr w:type="spellEnd"/>
      <w:r w:rsidRPr="008E662E">
        <w:t xml:space="preserve"> R, Brock-</w:t>
      </w:r>
      <w:proofErr w:type="spellStart"/>
      <w:r w:rsidRPr="008E662E">
        <w:t>Utne</w:t>
      </w:r>
      <w:proofErr w:type="spellEnd"/>
      <w:r w:rsidRPr="008E662E">
        <w:t xml:space="preserve"> JG. </w:t>
      </w:r>
      <w:r w:rsidRPr="00714A25">
        <w:t>Oral midazolam with an antacid may increase the speed of onset of sedation in</w:t>
      </w:r>
      <w:r>
        <w:t xml:space="preserve"> </w:t>
      </w:r>
      <w:r w:rsidRPr="00714A25">
        <w:t xml:space="preserve">children prior to general </w:t>
      </w:r>
      <w:proofErr w:type="spellStart"/>
      <w:r w:rsidRPr="00714A25">
        <w:t>anaesthesia</w:t>
      </w:r>
      <w:proofErr w:type="spellEnd"/>
      <w:r w:rsidRPr="00714A25">
        <w:t>.</w:t>
      </w:r>
      <w:r>
        <w:t xml:space="preserve"> </w:t>
      </w:r>
      <w:proofErr w:type="spellStart"/>
      <w:r>
        <w:t>Paediatr</w:t>
      </w:r>
      <w:proofErr w:type="spellEnd"/>
      <w:r>
        <w:t xml:space="preserve"> </w:t>
      </w:r>
      <w:proofErr w:type="spellStart"/>
      <w:r>
        <w:t>Anaesth</w:t>
      </w:r>
      <w:proofErr w:type="spellEnd"/>
      <w:r>
        <w:t xml:space="preserve"> </w:t>
      </w:r>
      <w:r w:rsidRPr="00714A25">
        <w:t>2002;</w:t>
      </w:r>
      <w:r>
        <w:t xml:space="preserve"> 12</w:t>
      </w:r>
      <w:r w:rsidRPr="00714A25">
        <w:t>:</w:t>
      </w:r>
      <w:r>
        <w:t xml:space="preserve"> </w:t>
      </w:r>
      <w:r w:rsidRPr="00714A25">
        <w:t>26-</w:t>
      </w:r>
      <w:r>
        <w:t>2</w:t>
      </w:r>
      <w:r w:rsidRPr="00714A25">
        <w:t>8.</w:t>
      </w:r>
    </w:p>
    <w:p w:rsidR="006533FF" w:rsidRDefault="006533FF" w:rsidP="006533FF">
      <w:pPr>
        <w:pStyle w:val="ListeParagraf"/>
        <w:numPr>
          <w:ilvl w:val="0"/>
          <w:numId w:val="1"/>
        </w:numPr>
        <w:spacing w:line="480" w:lineRule="auto"/>
        <w:jc w:val="both"/>
      </w:pPr>
      <w:r w:rsidRPr="008309DF">
        <w:t xml:space="preserve">Bozkurt P. Premedication of the pediatric patient–anesthesia for the uncooperative child. </w:t>
      </w:r>
      <w:r w:rsidRPr="002F2DFB">
        <w:t xml:space="preserve">Current </w:t>
      </w:r>
      <w:r>
        <w:t xml:space="preserve">Opinion in </w:t>
      </w:r>
      <w:proofErr w:type="spellStart"/>
      <w:r>
        <w:t>Anaesthesiology</w:t>
      </w:r>
      <w:proofErr w:type="spellEnd"/>
      <w:r>
        <w:t xml:space="preserve"> 2007;</w:t>
      </w:r>
      <w:r w:rsidRPr="002F2DFB">
        <w:t xml:space="preserve"> 20:</w:t>
      </w:r>
      <w:r>
        <w:t xml:space="preserve"> 211-</w:t>
      </w:r>
      <w:r w:rsidRPr="002F2DFB">
        <w:t>215</w:t>
      </w:r>
      <w:r>
        <w:t>.</w:t>
      </w:r>
    </w:p>
    <w:p w:rsidR="006533FF" w:rsidRDefault="006533FF" w:rsidP="006533FF">
      <w:pPr>
        <w:pStyle w:val="ListeParagraf"/>
        <w:numPr>
          <w:ilvl w:val="0"/>
          <w:numId w:val="1"/>
        </w:numPr>
        <w:spacing w:line="480" w:lineRule="auto"/>
        <w:jc w:val="both"/>
      </w:pPr>
      <w:proofErr w:type="spellStart"/>
      <w:r w:rsidRPr="006627AE">
        <w:lastRenderedPageBreak/>
        <w:t>Goho</w:t>
      </w:r>
      <w:proofErr w:type="spellEnd"/>
      <w:r w:rsidRPr="006627AE">
        <w:t xml:space="preserve"> C. Oral midazolam-grapefruit juice drug interaction.</w:t>
      </w:r>
      <w:r>
        <w:t xml:space="preserve"> </w:t>
      </w:r>
      <w:proofErr w:type="spellStart"/>
      <w:r>
        <w:t>Pediatr</w:t>
      </w:r>
      <w:proofErr w:type="spellEnd"/>
      <w:r>
        <w:t xml:space="preserve"> Dent </w:t>
      </w:r>
      <w:r w:rsidRPr="006627AE">
        <w:t>2001;</w:t>
      </w:r>
      <w:r>
        <w:t xml:space="preserve"> </w:t>
      </w:r>
      <w:r w:rsidRPr="006627AE">
        <w:t>23:</w:t>
      </w:r>
      <w:r>
        <w:t xml:space="preserve"> </w:t>
      </w:r>
      <w:r w:rsidRPr="006627AE">
        <w:t>365-</w:t>
      </w:r>
      <w:r>
        <w:t>36</w:t>
      </w:r>
      <w:r w:rsidRPr="006627AE">
        <w:t>6.</w:t>
      </w:r>
    </w:p>
    <w:p w:rsidR="006533FF" w:rsidRDefault="006533FF" w:rsidP="006533FF">
      <w:pPr>
        <w:pStyle w:val="ListeParagraf"/>
        <w:numPr>
          <w:ilvl w:val="0"/>
          <w:numId w:val="1"/>
        </w:numPr>
        <w:spacing w:line="480" w:lineRule="auto"/>
        <w:jc w:val="both"/>
      </w:pPr>
      <w:r>
        <w:t xml:space="preserve">Marshall J, </w:t>
      </w:r>
      <w:proofErr w:type="spellStart"/>
      <w:r>
        <w:t>Rodarte</w:t>
      </w:r>
      <w:proofErr w:type="spellEnd"/>
      <w:r>
        <w:t xml:space="preserve"> A, </w:t>
      </w:r>
      <w:proofErr w:type="spellStart"/>
      <w:r>
        <w:t>Blumer</w:t>
      </w:r>
      <w:proofErr w:type="spellEnd"/>
      <w:r>
        <w:t xml:space="preserve"> J, </w:t>
      </w:r>
      <w:proofErr w:type="spellStart"/>
      <w:r>
        <w:t>Khoo</w:t>
      </w:r>
      <w:proofErr w:type="spellEnd"/>
      <w:r>
        <w:t xml:space="preserve"> KC, Akbari B, Kearns G.</w:t>
      </w:r>
      <w:r w:rsidRPr="0064707A">
        <w:t xml:space="preserve"> </w:t>
      </w:r>
      <w:r>
        <w:t xml:space="preserve">Pediatric pharmacodynamics of midazolam oral syrup. Pediatric Pharmacology J </w:t>
      </w:r>
      <w:proofErr w:type="spellStart"/>
      <w:r>
        <w:t>Clin</w:t>
      </w:r>
      <w:proofErr w:type="spellEnd"/>
      <w:r>
        <w:t xml:space="preserve"> </w:t>
      </w:r>
      <w:proofErr w:type="spellStart"/>
      <w:r>
        <w:t>Pharmacol</w:t>
      </w:r>
      <w:proofErr w:type="spellEnd"/>
      <w:r>
        <w:t xml:space="preserve"> 2000; 40: 578-589.</w:t>
      </w:r>
    </w:p>
    <w:p w:rsidR="006533FF" w:rsidRDefault="006533FF" w:rsidP="006533FF">
      <w:pPr>
        <w:pStyle w:val="ListeParagraf"/>
        <w:numPr>
          <w:ilvl w:val="0"/>
          <w:numId w:val="1"/>
        </w:numPr>
        <w:spacing w:line="480" w:lineRule="auto"/>
        <w:jc w:val="both"/>
      </w:pPr>
      <w:r>
        <w:t xml:space="preserve">Johnson MB, </w:t>
      </w:r>
      <w:proofErr w:type="spellStart"/>
      <w:r>
        <w:t>Cappelli</w:t>
      </w:r>
      <w:proofErr w:type="spellEnd"/>
      <w:r>
        <w:t xml:space="preserve"> DP, Bradshaw BS, Mabry JC. Differences in pediatric dental services under general anesthesia for Medicaid and military dependent children. </w:t>
      </w:r>
      <w:proofErr w:type="spellStart"/>
      <w:r>
        <w:t>Pediatr</w:t>
      </w:r>
      <w:proofErr w:type="spellEnd"/>
      <w:r>
        <w:t xml:space="preserve"> Dent 2010; 32: 289-294.</w:t>
      </w:r>
    </w:p>
    <w:p w:rsidR="006533FF" w:rsidRDefault="006533FF" w:rsidP="006533FF">
      <w:pPr>
        <w:pStyle w:val="ListeParagraf"/>
        <w:numPr>
          <w:ilvl w:val="0"/>
          <w:numId w:val="1"/>
        </w:numPr>
        <w:spacing w:line="480" w:lineRule="auto"/>
        <w:jc w:val="both"/>
      </w:pPr>
      <w:proofErr w:type="spellStart"/>
      <w:r>
        <w:t>Quinonez</w:t>
      </w:r>
      <w:proofErr w:type="spellEnd"/>
      <w:r>
        <w:t xml:space="preserve"> R, Santos RG, Boyar R, Cross H. Temperament and trait anxiety as predictors of child behavior prior to general anesthesia for dental surgery. </w:t>
      </w:r>
      <w:proofErr w:type="spellStart"/>
      <w:r>
        <w:t>Pediatr</w:t>
      </w:r>
      <w:proofErr w:type="spellEnd"/>
      <w:r>
        <w:t xml:space="preserve"> Dent 1997; 19: 427-431.</w:t>
      </w:r>
    </w:p>
    <w:p w:rsidR="006533FF" w:rsidRDefault="006533FF" w:rsidP="006533FF">
      <w:pPr>
        <w:pStyle w:val="ListeParagraf"/>
        <w:numPr>
          <w:ilvl w:val="0"/>
          <w:numId w:val="1"/>
        </w:numPr>
        <w:spacing w:line="480" w:lineRule="auto"/>
        <w:jc w:val="both"/>
      </w:pPr>
      <w:r>
        <w:t xml:space="preserve">Baygin O, </w:t>
      </w:r>
      <w:proofErr w:type="spellStart"/>
      <w:r>
        <w:t>Bodur</w:t>
      </w:r>
      <w:proofErr w:type="spellEnd"/>
      <w:r>
        <w:t xml:space="preserve"> H, </w:t>
      </w:r>
      <w:proofErr w:type="spellStart"/>
      <w:r>
        <w:t>Isik</w:t>
      </w:r>
      <w:proofErr w:type="spellEnd"/>
      <w:r>
        <w:t xml:space="preserve"> B. Effectiveness of premedication agents administered prior to nitrous oxide/oxygen. </w:t>
      </w:r>
      <w:proofErr w:type="spellStart"/>
      <w:r>
        <w:t>Eur</w:t>
      </w:r>
      <w:proofErr w:type="spellEnd"/>
      <w:r>
        <w:t xml:space="preserve"> J </w:t>
      </w:r>
      <w:proofErr w:type="spellStart"/>
      <w:r>
        <w:t>Anaesthesiol</w:t>
      </w:r>
      <w:proofErr w:type="spellEnd"/>
      <w:r>
        <w:t xml:space="preserve"> 2010; 27: 341-346.</w:t>
      </w:r>
    </w:p>
    <w:p w:rsidR="006533FF" w:rsidRDefault="006533FF" w:rsidP="006533FF">
      <w:pPr>
        <w:pStyle w:val="ListeParagraf"/>
        <w:numPr>
          <w:ilvl w:val="0"/>
          <w:numId w:val="1"/>
        </w:numPr>
        <w:spacing w:line="480" w:lineRule="auto"/>
        <w:jc w:val="both"/>
      </w:pPr>
      <w:proofErr w:type="spellStart"/>
      <w:r>
        <w:t>Kaviani</w:t>
      </w:r>
      <w:proofErr w:type="spellEnd"/>
      <w:r>
        <w:t xml:space="preserve"> N, </w:t>
      </w:r>
      <w:proofErr w:type="spellStart"/>
      <w:r>
        <w:t>Shahtusi</w:t>
      </w:r>
      <w:proofErr w:type="spellEnd"/>
      <w:r>
        <w:t xml:space="preserve"> M, Haj </w:t>
      </w:r>
      <w:proofErr w:type="spellStart"/>
      <w:r>
        <w:t>Norousali</w:t>
      </w:r>
      <w:proofErr w:type="spellEnd"/>
      <w:r>
        <w:t xml:space="preserve"> Tehrani M, </w:t>
      </w:r>
      <w:proofErr w:type="spellStart"/>
      <w:r>
        <w:t>Nazari</w:t>
      </w:r>
      <w:proofErr w:type="spellEnd"/>
      <w:r>
        <w:t xml:space="preserve"> S.</w:t>
      </w:r>
      <w:r w:rsidRPr="00571305">
        <w:t xml:space="preserve"> </w:t>
      </w:r>
      <w:r>
        <w:t>Effect of Oral Midazolam Premedication on Children's Co-operation Before General Anesthesia in Pediatric Dentistry.</w:t>
      </w:r>
      <w:r w:rsidRPr="00571305">
        <w:t xml:space="preserve"> </w:t>
      </w:r>
      <w:r>
        <w:t>J Dent (Shiraz) 2014</w:t>
      </w:r>
      <w:r w:rsidRPr="00571305">
        <w:t>;</w:t>
      </w:r>
      <w:r>
        <w:t xml:space="preserve"> 15</w:t>
      </w:r>
      <w:r w:rsidRPr="00571305">
        <w:t>:</w:t>
      </w:r>
      <w:r>
        <w:t xml:space="preserve"> </w:t>
      </w:r>
      <w:r w:rsidRPr="00571305">
        <w:t>123-</w:t>
      </w:r>
      <w:r>
        <w:t>12</w:t>
      </w:r>
      <w:r w:rsidRPr="00571305">
        <w:t>8.</w:t>
      </w:r>
    </w:p>
    <w:p w:rsidR="006533FF" w:rsidRDefault="006533FF" w:rsidP="006533FF">
      <w:pPr>
        <w:pStyle w:val="ListeParagraf"/>
        <w:numPr>
          <w:ilvl w:val="0"/>
          <w:numId w:val="1"/>
        </w:numPr>
        <w:spacing w:line="480" w:lineRule="auto"/>
        <w:jc w:val="both"/>
      </w:pPr>
      <w:r w:rsidRPr="00A40F44">
        <w:t xml:space="preserve">Guidelines for </w:t>
      </w:r>
      <w:proofErr w:type="spellStart"/>
      <w:r w:rsidRPr="00A40F44">
        <w:t>nonoperating</w:t>
      </w:r>
      <w:proofErr w:type="spellEnd"/>
      <w:r w:rsidRPr="00A40F44">
        <w:t xml:space="preserve"> room anesthetizing locations (Approved by House of Delegates on October 19, 1994, and la</w:t>
      </w:r>
      <w:r>
        <w:t xml:space="preserve">st amended on October 15, 2003). Available at: (http:/ </w:t>
      </w:r>
      <w:r w:rsidRPr="00851D45">
        <w:rPr>
          <w:color w:val="000000"/>
        </w:rPr>
        <w:t xml:space="preserve">/ </w:t>
      </w:r>
      <w:hyperlink r:id="rId5" w:history="1">
        <w:r w:rsidRPr="00851D45">
          <w:rPr>
            <w:rStyle w:val="Kpr"/>
            <w:color w:val="000000"/>
          </w:rPr>
          <w:t>www.asahq.org/</w:t>
        </w:r>
      </w:hyperlink>
      <w:r>
        <w:t xml:space="preserve"> </w:t>
      </w:r>
      <w:proofErr w:type="spellStart"/>
      <w:r>
        <w:t>publicationsAndServices</w:t>
      </w:r>
      <w:proofErr w:type="spellEnd"/>
      <w:r>
        <w:t xml:space="preserve">/ </w:t>
      </w:r>
      <w:proofErr w:type="spellStart"/>
      <w:r>
        <w:t>standarts</w:t>
      </w:r>
      <w:proofErr w:type="spellEnd"/>
      <w:r>
        <w:t>/ 14.pdf (accessed on 24 February 2008.)</w:t>
      </w:r>
    </w:p>
    <w:p w:rsidR="006533FF" w:rsidRDefault="006533FF" w:rsidP="006533FF">
      <w:pPr>
        <w:pStyle w:val="ListeParagraf"/>
        <w:numPr>
          <w:ilvl w:val="0"/>
          <w:numId w:val="1"/>
        </w:numPr>
        <w:spacing w:line="480" w:lineRule="auto"/>
        <w:jc w:val="both"/>
      </w:pPr>
      <w:r>
        <w:t xml:space="preserve">Chung F, Chan VW, Ong D. A post-anesthetic discharge scoring system for home readiness after ambulatory surgery. J </w:t>
      </w:r>
      <w:proofErr w:type="spellStart"/>
      <w:r>
        <w:t>Clin</w:t>
      </w:r>
      <w:proofErr w:type="spellEnd"/>
      <w:r>
        <w:t xml:space="preserve"> </w:t>
      </w:r>
      <w:proofErr w:type="spellStart"/>
      <w:r>
        <w:t>Anesth</w:t>
      </w:r>
      <w:proofErr w:type="spellEnd"/>
      <w:r>
        <w:t xml:space="preserve"> 1995; 7: 500-506.</w:t>
      </w:r>
    </w:p>
    <w:p w:rsidR="006533FF" w:rsidRDefault="006533FF" w:rsidP="006533FF">
      <w:pPr>
        <w:pStyle w:val="ListeParagraf"/>
        <w:numPr>
          <w:ilvl w:val="0"/>
          <w:numId w:val="1"/>
        </w:numPr>
        <w:spacing w:line="480" w:lineRule="auto"/>
        <w:jc w:val="both"/>
      </w:pPr>
      <w:proofErr w:type="spellStart"/>
      <w:r>
        <w:t>Sebel</w:t>
      </w:r>
      <w:proofErr w:type="spellEnd"/>
      <w:r>
        <w:t xml:space="preserve"> PS, </w:t>
      </w:r>
      <w:proofErr w:type="spellStart"/>
      <w:r>
        <w:t>Bowdle</w:t>
      </w:r>
      <w:proofErr w:type="spellEnd"/>
      <w:r>
        <w:t xml:space="preserve"> TA, </w:t>
      </w:r>
      <w:proofErr w:type="spellStart"/>
      <w:r>
        <w:t>Ghoneim</w:t>
      </w:r>
      <w:proofErr w:type="spellEnd"/>
      <w:r>
        <w:t xml:space="preserve"> MM, </w:t>
      </w:r>
      <w:proofErr w:type="spellStart"/>
      <w:r>
        <w:t>Rampil</w:t>
      </w:r>
      <w:proofErr w:type="spellEnd"/>
      <w:r>
        <w:t xml:space="preserve"> IJ, Padilla RE, </w:t>
      </w:r>
      <w:proofErr w:type="spellStart"/>
      <w:r>
        <w:t>Gan</w:t>
      </w:r>
      <w:proofErr w:type="spellEnd"/>
      <w:r>
        <w:t xml:space="preserve"> TJ, Domino KB. The incidence of awareness during anesthesia: a multicenter United States study. </w:t>
      </w:r>
      <w:proofErr w:type="spellStart"/>
      <w:r>
        <w:t>Anesth</w:t>
      </w:r>
      <w:proofErr w:type="spellEnd"/>
      <w:r>
        <w:t xml:space="preserve"> </w:t>
      </w:r>
      <w:proofErr w:type="spellStart"/>
      <w:r>
        <w:t>Analg</w:t>
      </w:r>
      <w:proofErr w:type="spellEnd"/>
      <w:r>
        <w:t xml:space="preserve"> 2004; 99: 833-839.</w:t>
      </w:r>
    </w:p>
    <w:p w:rsidR="006533FF" w:rsidRDefault="006533FF" w:rsidP="006533FF">
      <w:pPr>
        <w:pStyle w:val="ListeParagraf"/>
        <w:numPr>
          <w:ilvl w:val="0"/>
          <w:numId w:val="1"/>
        </w:numPr>
        <w:spacing w:line="480" w:lineRule="auto"/>
        <w:jc w:val="both"/>
      </w:pPr>
      <w:r>
        <w:lastRenderedPageBreak/>
        <w:t xml:space="preserve">Lopez U, </w:t>
      </w:r>
      <w:proofErr w:type="spellStart"/>
      <w:r>
        <w:t>Habre</w:t>
      </w:r>
      <w:proofErr w:type="spellEnd"/>
      <w:r>
        <w:t xml:space="preserve"> W, </w:t>
      </w:r>
      <w:proofErr w:type="spellStart"/>
      <w:r>
        <w:t>Laurençon</w:t>
      </w:r>
      <w:proofErr w:type="spellEnd"/>
      <w:r>
        <w:t xml:space="preserve"> M, Haller G, Van der Linden M, Iselin-Chaves IA. Intra-operative awareness in children: the value of an interview adapted to their cognitive abilities. </w:t>
      </w:r>
      <w:proofErr w:type="spellStart"/>
      <w:r>
        <w:t>Anaesthesia</w:t>
      </w:r>
      <w:proofErr w:type="spellEnd"/>
      <w:r>
        <w:t xml:space="preserve"> 2007; 62: 778-789.</w:t>
      </w:r>
    </w:p>
    <w:p w:rsidR="006533FF" w:rsidRDefault="006533FF" w:rsidP="006533FF">
      <w:pPr>
        <w:pStyle w:val="ListeParagraf"/>
        <w:numPr>
          <w:ilvl w:val="0"/>
          <w:numId w:val="1"/>
        </w:numPr>
        <w:spacing w:line="480" w:lineRule="auto"/>
        <w:jc w:val="both"/>
      </w:pPr>
      <w:r w:rsidRPr="00882DD5">
        <w:t xml:space="preserve">Cray SH, Dixon JL, Heard CM, </w:t>
      </w:r>
      <w:proofErr w:type="spellStart"/>
      <w:r w:rsidRPr="00882DD5">
        <w:t>Selsby</w:t>
      </w:r>
      <w:proofErr w:type="spellEnd"/>
      <w:r w:rsidRPr="00882DD5">
        <w:t xml:space="preserve"> DS. Oral midazolam premedication for </w:t>
      </w:r>
      <w:proofErr w:type="spellStart"/>
      <w:r w:rsidRPr="00882DD5">
        <w:t>paediatric</w:t>
      </w:r>
      <w:proofErr w:type="spellEnd"/>
      <w:r w:rsidRPr="00882DD5">
        <w:t xml:space="preserve"> day case patients.</w:t>
      </w:r>
      <w:r>
        <w:t xml:space="preserve"> </w:t>
      </w:r>
      <w:proofErr w:type="spellStart"/>
      <w:r>
        <w:t>Paediatr</w:t>
      </w:r>
      <w:proofErr w:type="spellEnd"/>
      <w:r>
        <w:t xml:space="preserve"> </w:t>
      </w:r>
      <w:proofErr w:type="spellStart"/>
      <w:r>
        <w:t>Anaesth</w:t>
      </w:r>
      <w:proofErr w:type="spellEnd"/>
      <w:r>
        <w:t xml:space="preserve"> </w:t>
      </w:r>
      <w:r w:rsidRPr="00882DD5">
        <w:t>1996;</w:t>
      </w:r>
      <w:r>
        <w:t xml:space="preserve"> 6</w:t>
      </w:r>
      <w:r w:rsidRPr="00882DD5">
        <w:t>:</w:t>
      </w:r>
      <w:r>
        <w:t xml:space="preserve"> 265-2</w:t>
      </w:r>
      <w:r w:rsidRPr="00882DD5">
        <w:t>70.</w:t>
      </w:r>
    </w:p>
    <w:p w:rsidR="006533FF" w:rsidRPr="007964F3" w:rsidRDefault="006533FF" w:rsidP="006533FF">
      <w:pPr>
        <w:pStyle w:val="ListeParagraf"/>
        <w:numPr>
          <w:ilvl w:val="0"/>
          <w:numId w:val="1"/>
        </w:numPr>
        <w:spacing w:line="480" w:lineRule="auto"/>
        <w:jc w:val="both"/>
      </w:pPr>
      <w:r w:rsidRPr="003E5739">
        <w:t xml:space="preserve">Levine MF, </w:t>
      </w:r>
      <w:proofErr w:type="spellStart"/>
      <w:r w:rsidRPr="003E5739">
        <w:t>Spahr-Schopfer</w:t>
      </w:r>
      <w:proofErr w:type="spellEnd"/>
      <w:r w:rsidRPr="003E5739">
        <w:t xml:space="preserve"> IA, Hartley E, </w:t>
      </w:r>
      <w:proofErr w:type="spellStart"/>
      <w:r w:rsidRPr="003E5739">
        <w:t>Lerman</w:t>
      </w:r>
      <w:proofErr w:type="spellEnd"/>
      <w:r w:rsidRPr="003E5739">
        <w:t xml:space="preserve"> J, MacPherson B. Oral midazolam premedication in children: the minimum time interval for separation from parents. Can J </w:t>
      </w:r>
      <w:proofErr w:type="spellStart"/>
      <w:r w:rsidRPr="003E5739">
        <w:t>Anaesth</w:t>
      </w:r>
      <w:proofErr w:type="spellEnd"/>
      <w:r w:rsidRPr="003E5739">
        <w:t xml:space="preserve"> 1993; 40: 726-729.</w:t>
      </w:r>
    </w:p>
    <w:p w:rsidR="006533FF" w:rsidRDefault="006533FF" w:rsidP="006533FF">
      <w:pPr>
        <w:pStyle w:val="ListeParagraf"/>
        <w:numPr>
          <w:ilvl w:val="0"/>
          <w:numId w:val="1"/>
        </w:numPr>
        <w:spacing w:line="480" w:lineRule="auto"/>
        <w:jc w:val="both"/>
      </w:pPr>
      <w:proofErr w:type="spellStart"/>
      <w:r w:rsidRPr="00DF7DCF">
        <w:t>Malinovsky</w:t>
      </w:r>
      <w:proofErr w:type="spellEnd"/>
      <w:r w:rsidRPr="00DF7DCF">
        <w:t xml:space="preserve"> JM, </w:t>
      </w:r>
      <w:proofErr w:type="spellStart"/>
      <w:r w:rsidRPr="00DF7DCF">
        <w:t>Populaire</w:t>
      </w:r>
      <w:proofErr w:type="spellEnd"/>
      <w:r w:rsidRPr="00DF7DCF">
        <w:t xml:space="preserve"> C, </w:t>
      </w:r>
      <w:proofErr w:type="spellStart"/>
      <w:r w:rsidRPr="00DF7DCF">
        <w:t>Cozian</w:t>
      </w:r>
      <w:proofErr w:type="spellEnd"/>
      <w:r w:rsidRPr="00DF7DCF">
        <w:t xml:space="preserve"> A, </w:t>
      </w:r>
      <w:proofErr w:type="spellStart"/>
      <w:r w:rsidRPr="00DF7DCF">
        <w:t>Lepage</w:t>
      </w:r>
      <w:proofErr w:type="spellEnd"/>
      <w:r w:rsidRPr="00DF7DCF">
        <w:t xml:space="preserve"> JY, </w:t>
      </w:r>
      <w:proofErr w:type="spellStart"/>
      <w:r w:rsidRPr="00DF7DCF">
        <w:t>Lejus</w:t>
      </w:r>
      <w:proofErr w:type="spellEnd"/>
      <w:r w:rsidRPr="00DF7DCF">
        <w:t xml:space="preserve"> C, </w:t>
      </w:r>
      <w:proofErr w:type="spellStart"/>
      <w:r w:rsidRPr="00DF7DCF">
        <w:t>Pinaud</w:t>
      </w:r>
      <w:proofErr w:type="spellEnd"/>
      <w:r w:rsidRPr="00DF7DCF">
        <w:t xml:space="preserve"> M. Premedication with midazolam in children. Effect of intranasal, rectal and oral routes on plasma midazolam concentrations.</w:t>
      </w:r>
      <w:r>
        <w:t xml:space="preserve"> </w:t>
      </w:r>
      <w:proofErr w:type="spellStart"/>
      <w:r>
        <w:t>Anaesthesia</w:t>
      </w:r>
      <w:proofErr w:type="spellEnd"/>
      <w:r>
        <w:t xml:space="preserve"> </w:t>
      </w:r>
      <w:r w:rsidRPr="00DF7DCF">
        <w:t>1995;</w:t>
      </w:r>
      <w:r>
        <w:t xml:space="preserve"> 50</w:t>
      </w:r>
      <w:r w:rsidRPr="00DF7DCF">
        <w:t>:</w:t>
      </w:r>
      <w:r>
        <w:t xml:space="preserve"> </w:t>
      </w:r>
      <w:r w:rsidRPr="00DF7DCF">
        <w:t>351-</w:t>
      </w:r>
      <w:r>
        <w:t>35</w:t>
      </w:r>
      <w:r w:rsidRPr="00DF7DCF">
        <w:t>4.</w:t>
      </w:r>
    </w:p>
    <w:p w:rsidR="006533FF" w:rsidRDefault="006533FF" w:rsidP="006533FF">
      <w:pPr>
        <w:pStyle w:val="ListeParagraf"/>
        <w:numPr>
          <w:ilvl w:val="0"/>
          <w:numId w:val="1"/>
        </w:numPr>
        <w:spacing w:line="480" w:lineRule="auto"/>
        <w:jc w:val="both"/>
      </w:pPr>
      <w:r w:rsidRPr="00E71EAA">
        <w:t xml:space="preserve">Karl HW, Rosenberger JL, </w:t>
      </w:r>
      <w:proofErr w:type="spellStart"/>
      <w:r w:rsidRPr="00E71EAA">
        <w:t>Larach</w:t>
      </w:r>
      <w:proofErr w:type="spellEnd"/>
      <w:r w:rsidRPr="00E71EAA">
        <w:t xml:space="preserve"> MG et al. </w:t>
      </w:r>
      <w:proofErr w:type="spellStart"/>
      <w:r w:rsidRPr="00E71EAA">
        <w:t>Transmucosal</w:t>
      </w:r>
      <w:proofErr w:type="spellEnd"/>
      <w:r w:rsidRPr="00E71EAA">
        <w:t xml:space="preserve"> administration of midazolam for premedication of pediatric</w:t>
      </w:r>
      <w:r>
        <w:t xml:space="preserve"> </w:t>
      </w:r>
      <w:r w:rsidRPr="00E71EAA">
        <w:t>patient</w:t>
      </w:r>
      <w:r>
        <w:t>s. Anesthesiology 1993; 78: 885-</w:t>
      </w:r>
      <w:r w:rsidRPr="00E71EAA">
        <w:t>891.</w:t>
      </w:r>
    </w:p>
    <w:p w:rsidR="006533FF" w:rsidRPr="00E71EAA" w:rsidRDefault="006533FF" w:rsidP="006533FF">
      <w:pPr>
        <w:pStyle w:val="ListeParagraf"/>
        <w:numPr>
          <w:ilvl w:val="0"/>
          <w:numId w:val="1"/>
        </w:numPr>
        <w:spacing w:line="480" w:lineRule="auto"/>
        <w:jc w:val="both"/>
      </w:pPr>
      <w:proofErr w:type="spellStart"/>
      <w:r w:rsidRPr="00E71EAA">
        <w:t>Pimlott</w:t>
      </w:r>
      <w:proofErr w:type="spellEnd"/>
      <w:r w:rsidRPr="00E71EAA">
        <w:t xml:space="preserve"> SJ, Addy M. Evaluation of a method to study the uptake of prednisolone sodium phosphate from different</w:t>
      </w:r>
      <w:r>
        <w:t xml:space="preserve"> </w:t>
      </w:r>
      <w:r w:rsidRPr="00E71EAA">
        <w:t xml:space="preserve">oral mucosal sites. Oral </w:t>
      </w:r>
      <w:proofErr w:type="spellStart"/>
      <w:r w:rsidRPr="00E71EAA">
        <w:t>Surg</w:t>
      </w:r>
      <w:proofErr w:type="spellEnd"/>
      <w:r w:rsidRPr="00E71EAA">
        <w:t xml:space="preserve"> Oral Med Oral </w:t>
      </w:r>
      <w:proofErr w:type="spellStart"/>
      <w:r w:rsidRPr="00E71EAA">
        <w:t>Pathol</w:t>
      </w:r>
      <w:proofErr w:type="spellEnd"/>
      <w:r w:rsidRPr="00E71EAA">
        <w:t xml:space="preserve"> 1985; 60:</w:t>
      </w:r>
      <w:r>
        <w:t xml:space="preserve"> 35-</w:t>
      </w:r>
      <w:r w:rsidRPr="00E71EAA">
        <w:t>37.</w:t>
      </w:r>
    </w:p>
    <w:p w:rsidR="006533FF" w:rsidRDefault="006533FF" w:rsidP="006533FF">
      <w:pPr>
        <w:pStyle w:val="ListeParagraf"/>
        <w:numPr>
          <w:ilvl w:val="0"/>
          <w:numId w:val="1"/>
        </w:numPr>
        <w:spacing w:line="480" w:lineRule="auto"/>
        <w:jc w:val="both"/>
      </w:pPr>
      <w:r w:rsidRPr="00A32054">
        <w:t xml:space="preserve">Dundee JW, Halliday NJ, Harper KW, </w:t>
      </w:r>
      <w:proofErr w:type="spellStart"/>
      <w:r w:rsidRPr="00A32054">
        <w:t>Brogden</w:t>
      </w:r>
      <w:proofErr w:type="spellEnd"/>
      <w:r w:rsidRPr="00A32054">
        <w:t xml:space="preserve"> RN. Midazolam. A review of its pharmacological properties and therapeutic use.</w:t>
      </w:r>
      <w:r>
        <w:t xml:space="preserve"> Drugs </w:t>
      </w:r>
      <w:r w:rsidRPr="00A32054">
        <w:t>1984;</w:t>
      </w:r>
      <w:r>
        <w:t xml:space="preserve"> 28</w:t>
      </w:r>
      <w:r w:rsidRPr="00A32054">
        <w:t>:</w:t>
      </w:r>
      <w:r>
        <w:t xml:space="preserve"> </w:t>
      </w:r>
      <w:r w:rsidRPr="00A32054">
        <w:t>519-</w:t>
      </w:r>
      <w:r>
        <w:t>5</w:t>
      </w:r>
      <w:r w:rsidRPr="00A32054">
        <w:t>43.</w:t>
      </w:r>
    </w:p>
    <w:p w:rsidR="006533FF" w:rsidRDefault="006533FF" w:rsidP="006533FF">
      <w:pPr>
        <w:pStyle w:val="ListeParagraf"/>
        <w:numPr>
          <w:ilvl w:val="0"/>
          <w:numId w:val="1"/>
        </w:numPr>
        <w:spacing w:line="480" w:lineRule="auto"/>
        <w:jc w:val="both"/>
      </w:pPr>
      <w:r w:rsidRPr="007964F3">
        <w:t xml:space="preserve">Kim H, Yoon YJ, Shon JH, Cha IJ, Shin JG, Liu KH. Inhibitory effects of fruit juices on CYP3A activity. Drug </w:t>
      </w:r>
      <w:proofErr w:type="spellStart"/>
      <w:r w:rsidRPr="007964F3">
        <w:t>Metab</w:t>
      </w:r>
      <w:proofErr w:type="spellEnd"/>
      <w:r w:rsidRPr="007964F3">
        <w:t xml:space="preserve"> </w:t>
      </w:r>
      <w:proofErr w:type="spellStart"/>
      <w:r w:rsidRPr="007964F3">
        <w:t>Dispos</w:t>
      </w:r>
      <w:proofErr w:type="spellEnd"/>
      <w:r w:rsidRPr="007964F3">
        <w:t xml:space="preserve"> 2006; 34: 521-523. </w:t>
      </w:r>
    </w:p>
    <w:p w:rsidR="006533FF" w:rsidRDefault="006533FF" w:rsidP="006533FF">
      <w:pPr>
        <w:pStyle w:val="ListeParagraf"/>
        <w:numPr>
          <w:ilvl w:val="0"/>
          <w:numId w:val="1"/>
        </w:numPr>
        <w:spacing w:line="480" w:lineRule="auto"/>
        <w:jc w:val="both"/>
      </w:pPr>
      <w:r w:rsidRPr="002A5AB9">
        <w:t xml:space="preserve">McMillan CO, </w:t>
      </w:r>
      <w:proofErr w:type="spellStart"/>
      <w:r w:rsidRPr="002A5AB9">
        <w:t>Spahr-Schopfer</w:t>
      </w:r>
      <w:proofErr w:type="spellEnd"/>
      <w:r w:rsidRPr="002A5AB9">
        <w:t xml:space="preserve"> IA, </w:t>
      </w:r>
      <w:proofErr w:type="spellStart"/>
      <w:r w:rsidRPr="002A5AB9">
        <w:t>Sikich</w:t>
      </w:r>
      <w:proofErr w:type="spellEnd"/>
      <w:r w:rsidRPr="002A5AB9">
        <w:t xml:space="preserve"> N, Hartley E, </w:t>
      </w:r>
      <w:proofErr w:type="spellStart"/>
      <w:r w:rsidRPr="002A5AB9">
        <w:t>Lerman</w:t>
      </w:r>
      <w:proofErr w:type="spellEnd"/>
      <w:r w:rsidRPr="002A5AB9">
        <w:t xml:space="preserve"> J. Premedication of children with oral midazolam. Can J </w:t>
      </w:r>
      <w:proofErr w:type="spellStart"/>
      <w:r w:rsidRPr="002A5AB9">
        <w:t>Anaesth</w:t>
      </w:r>
      <w:proofErr w:type="spellEnd"/>
      <w:r w:rsidRPr="002A5AB9">
        <w:t xml:space="preserve"> 1992; 39: 545-550.</w:t>
      </w:r>
    </w:p>
    <w:p w:rsidR="006533FF" w:rsidRDefault="006533FF" w:rsidP="006533FF">
      <w:pPr>
        <w:jc w:val="both"/>
        <w:rPr>
          <w:b/>
        </w:rPr>
      </w:pPr>
    </w:p>
    <w:p w:rsidR="006533FF" w:rsidRDefault="006533FF" w:rsidP="006533FF">
      <w:pPr>
        <w:jc w:val="both"/>
        <w:rPr>
          <w:b/>
        </w:rPr>
      </w:pPr>
    </w:p>
    <w:p w:rsidR="006533FF" w:rsidRDefault="006533FF">
      <w:pPr>
        <w:rPr>
          <w:b/>
        </w:rPr>
      </w:pPr>
    </w:p>
    <w:p w:rsidR="00FC5216" w:rsidRDefault="00FC5216"/>
    <w:p w:rsidR="006533FF" w:rsidRDefault="006533FF"/>
    <w:p w:rsidR="006533FF" w:rsidRDefault="006533FF"/>
    <w:p w:rsidR="006533FF" w:rsidRDefault="006533FF" w:rsidP="006533FF">
      <w:pPr>
        <w:ind w:right="-360"/>
        <w:jc w:val="both"/>
        <w:rPr>
          <w:b/>
        </w:rPr>
      </w:pPr>
      <w:r>
        <w:rPr>
          <w:b/>
        </w:rPr>
        <w:lastRenderedPageBreak/>
        <w:t xml:space="preserve">Table 1. </w:t>
      </w:r>
      <w:r w:rsidRPr="00314FBA">
        <w:t>Midazolam and mixtures pH values</w:t>
      </w:r>
    </w:p>
    <w:p w:rsidR="006533FF" w:rsidRDefault="006533FF" w:rsidP="006533FF">
      <w:pPr>
        <w:ind w:right="-360"/>
        <w:jc w:val="both"/>
        <w:rPr>
          <w:b/>
        </w:rPr>
      </w:pPr>
    </w:p>
    <w:tbl>
      <w:tblPr>
        <w:tblW w:w="0" w:type="auto"/>
        <w:tblInd w:w="38" w:type="dxa"/>
        <w:tblLook w:val="01E0" w:firstRow="1" w:lastRow="1" w:firstColumn="1" w:lastColumn="1" w:noHBand="0" w:noVBand="0"/>
      </w:tblPr>
      <w:tblGrid>
        <w:gridCol w:w="5753"/>
        <w:gridCol w:w="1545"/>
      </w:tblGrid>
      <w:tr w:rsidR="006533FF" w:rsidTr="00B627AF">
        <w:trPr>
          <w:trHeight w:val="261"/>
        </w:trPr>
        <w:tc>
          <w:tcPr>
            <w:tcW w:w="5753" w:type="dxa"/>
            <w:tcBorders>
              <w:top w:val="single" w:sz="4" w:space="0" w:color="auto"/>
              <w:bottom w:val="single" w:sz="4" w:space="0" w:color="auto"/>
            </w:tcBorders>
            <w:shd w:val="clear" w:color="auto" w:fill="auto"/>
          </w:tcPr>
          <w:p w:rsidR="006533FF" w:rsidRPr="0018142B" w:rsidRDefault="006533FF" w:rsidP="00B627AF">
            <w:pPr>
              <w:ind w:right="-360"/>
              <w:jc w:val="both"/>
              <w:rPr>
                <w:b/>
              </w:rPr>
            </w:pPr>
          </w:p>
          <w:p w:rsidR="006533FF" w:rsidRPr="0018142B" w:rsidRDefault="006533FF" w:rsidP="00B627AF">
            <w:pPr>
              <w:ind w:right="-360"/>
              <w:jc w:val="both"/>
              <w:rPr>
                <w:b/>
              </w:rPr>
            </w:pPr>
            <w:r w:rsidRPr="0018142B">
              <w:rPr>
                <w:b/>
              </w:rPr>
              <w:t>Midazolam and mixtures</w:t>
            </w:r>
          </w:p>
          <w:p w:rsidR="006533FF" w:rsidRPr="0018142B" w:rsidRDefault="006533FF" w:rsidP="00B627AF">
            <w:pPr>
              <w:ind w:right="-360"/>
              <w:jc w:val="both"/>
              <w:rPr>
                <w:b/>
              </w:rPr>
            </w:pPr>
          </w:p>
        </w:tc>
        <w:tc>
          <w:tcPr>
            <w:tcW w:w="1545" w:type="dxa"/>
            <w:tcBorders>
              <w:top w:val="single" w:sz="4" w:space="0" w:color="auto"/>
              <w:bottom w:val="single" w:sz="4" w:space="0" w:color="auto"/>
            </w:tcBorders>
            <w:shd w:val="clear" w:color="auto" w:fill="auto"/>
          </w:tcPr>
          <w:p w:rsidR="006533FF" w:rsidRPr="0018142B" w:rsidRDefault="006533FF" w:rsidP="00B627AF">
            <w:pPr>
              <w:ind w:right="-360"/>
              <w:jc w:val="both"/>
              <w:rPr>
                <w:b/>
              </w:rPr>
            </w:pPr>
          </w:p>
          <w:p w:rsidR="006533FF" w:rsidRPr="0018142B" w:rsidRDefault="006533FF" w:rsidP="00B627AF">
            <w:pPr>
              <w:ind w:right="-360"/>
              <w:jc w:val="both"/>
              <w:rPr>
                <w:b/>
              </w:rPr>
            </w:pPr>
            <w:r w:rsidRPr="0018142B">
              <w:rPr>
                <w:b/>
              </w:rPr>
              <w:t>pH value</w:t>
            </w:r>
          </w:p>
        </w:tc>
      </w:tr>
      <w:tr w:rsidR="006533FF" w:rsidTr="00B627AF">
        <w:trPr>
          <w:trHeight w:val="261"/>
        </w:trPr>
        <w:tc>
          <w:tcPr>
            <w:tcW w:w="5753" w:type="dxa"/>
            <w:tcBorders>
              <w:top w:val="single" w:sz="4" w:space="0" w:color="auto"/>
            </w:tcBorders>
            <w:shd w:val="clear" w:color="auto" w:fill="auto"/>
          </w:tcPr>
          <w:p w:rsidR="006533FF" w:rsidRPr="009C42AC" w:rsidRDefault="006533FF" w:rsidP="00B627AF">
            <w:pPr>
              <w:spacing w:line="480" w:lineRule="auto"/>
              <w:ind w:right="-360"/>
              <w:jc w:val="both"/>
            </w:pPr>
            <w:r>
              <w:t>Midazolam (15 mg/3 ml</w:t>
            </w:r>
            <w:r w:rsidRPr="009C42AC">
              <w:t>)</w:t>
            </w:r>
          </w:p>
        </w:tc>
        <w:tc>
          <w:tcPr>
            <w:tcW w:w="1545" w:type="dxa"/>
            <w:tcBorders>
              <w:top w:val="single" w:sz="4" w:space="0" w:color="auto"/>
            </w:tcBorders>
            <w:shd w:val="clear" w:color="auto" w:fill="auto"/>
          </w:tcPr>
          <w:p w:rsidR="006533FF" w:rsidRPr="009C42AC" w:rsidRDefault="006533FF" w:rsidP="00B627AF">
            <w:pPr>
              <w:spacing w:line="480" w:lineRule="auto"/>
              <w:ind w:right="-360"/>
              <w:jc w:val="both"/>
            </w:pPr>
            <w:r w:rsidRPr="0018142B">
              <w:rPr>
                <w:bCs/>
              </w:rPr>
              <w:t>3.22</w:t>
            </w:r>
          </w:p>
        </w:tc>
      </w:tr>
      <w:tr w:rsidR="006533FF" w:rsidTr="00B627AF">
        <w:trPr>
          <w:trHeight w:val="261"/>
        </w:trPr>
        <w:tc>
          <w:tcPr>
            <w:tcW w:w="5753" w:type="dxa"/>
            <w:shd w:val="clear" w:color="auto" w:fill="auto"/>
          </w:tcPr>
          <w:p w:rsidR="006533FF" w:rsidRPr="009C42AC" w:rsidRDefault="006533FF" w:rsidP="00B627AF">
            <w:pPr>
              <w:spacing w:line="480" w:lineRule="auto"/>
              <w:ind w:right="-360"/>
              <w:jc w:val="both"/>
            </w:pPr>
            <w:r>
              <w:t>Fresh orange juice</w:t>
            </w:r>
          </w:p>
        </w:tc>
        <w:tc>
          <w:tcPr>
            <w:tcW w:w="1545" w:type="dxa"/>
            <w:shd w:val="clear" w:color="auto" w:fill="auto"/>
          </w:tcPr>
          <w:p w:rsidR="006533FF" w:rsidRPr="009C42AC" w:rsidRDefault="006533FF" w:rsidP="00B627AF">
            <w:pPr>
              <w:spacing w:line="480" w:lineRule="auto"/>
              <w:ind w:right="-360"/>
              <w:jc w:val="both"/>
            </w:pPr>
            <w:r w:rsidRPr="0018142B">
              <w:rPr>
                <w:bCs/>
              </w:rPr>
              <w:t>2.93</w:t>
            </w:r>
          </w:p>
        </w:tc>
      </w:tr>
      <w:tr w:rsidR="006533FF" w:rsidTr="00B627AF">
        <w:trPr>
          <w:trHeight w:val="261"/>
        </w:trPr>
        <w:tc>
          <w:tcPr>
            <w:tcW w:w="5753" w:type="dxa"/>
            <w:shd w:val="clear" w:color="auto" w:fill="auto"/>
          </w:tcPr>
          <w:p w:rsidR="006533FF" w:rsidRPr="009C42AC" w:rsidRDefault="006533FF" w:rsidP="00B627AF">
            <w:pPr>
              <w:spacing w:line="480" w:lineRule="auto"/>
              <w:ind w:right="-360"/>
              <w:jc w:val="both"/>
            </w:pPr>
            <w:r>
              <w:t xml:space="preserve">Fresh </w:t>
            </w:r>
            <w:r w:rsidRPr="00F65F5E">
              <w:t>grapefruit</w:t>
            </w:r>
            <w:r>
              <w:t xml:space="preserve"> juice</w:t>
            </w:r>
          </w:p>
        </w:tc>
        <w:tc>
          <w:tcPr>
            <w:tcW w:w="1545" w:type="dxa"/>
            <w:shd w:val="clear" w:color="auto" w:fill="auto"/>
          </w:tcPr>
          <w:p w:rsidR="006533FF" w:rsidRPr="009C42AC" w:rsidRDefault="006533FF" w:rsidP="00B627AF">
            <w:pPr>
              <w:spacing w:line="480" w:lineRule="auto"/>
              <w:ind w:right="-360"/>
              <w:jc w:val="both"/>
            </w:pPr>
            <w:r w:rsidRPr="0018142B">
              <w:rPr>
                <w:bCs/>
              </w:rPr>
              <w:t>2.73</w:t>
            </w:r>
          </w:p>
        </w:tc>
      </w:tr>
      <w:tr w:rsidR="006533FF" w:rsidTr="00B627AF">
        <w:trPr>
          <w:trHeight w:val="261"/>
        </w:trPr>
        <w:tc>
          <w:tcPr>
            <w:tcW w:w="5753" w:type="dxa"/>
            <w:shd w:val="clear" w:color="auto" w:fill="auto"/>
          </w:tcPr>
          <w:p w:rsidR="006533FF" w:rsidRPr="009C42AC" w:rsidRDefault="006533FF" w:rsidP="00B627AF">
            <w:pPr>
              <w:spacing w:line="480" w:lineRule="auto"/>
              <w:ind w:right="-360"/>
              <w:jc w:val="both"/>
            </w:pPr>
            <w:r>
              <w:t>Fresh orange juice</w:t>
            </w:r>
            <w:r w:rsidRPr="009C42AC">
              <w:t xml:space="preserve"> +</w:t>
            </w:r>
            <w:r>
              <w:t xml:space="preserve"> Midazolam (15 mg/3 ml</w:t>
            </w:r>
            <w:r w:rsidRPr="009C42AC">
              <w:t>)</w:t>
            </w:r>
          </w:p>
        </w:tc>
        <w:tc>
          <w:tcPr>
            <w:tcW w:w="1545" w:type="dxa"/>
            <w:shd w:val="clear" w:color="auto" w:fill="auto"/>
          </w:tcPr>
          <w:p w:rsidR="006533FF" w:rsidRPr="009C42AC" w:rsidRDefault="006533FF" w:rsidP="00B627AF">
            <w:pPr>
              <w:spacing w:line="480" w:lineRule="auto"/>
              <w:ind w:right="-360"/>
              <w:jc w:val="both"/>
            </w:pPr>
            <w:r w:rsidRPr="0018142B">
              <w:rPr>
                <w:bCs/>
              </w:rPr>
              <w:t>2.87</w:t>
            </w:r>
          </w:p>
        </w:tc>
      </w:tr>
      <w:tr w:rsidR="006533FF" w:rsidTr="00B627AF">
        <w:trPr>
          <w:trHeight w:val="255"/>
        </w:trPr>
        <w:tc>
          <w:tcPr>
            <w:tcW w:w="5753" w:type="dxa"/>
            <w:shd w:val="clear" w:color="auto" w:fill="auto"/>
          </w:tcPr>
          <w:p w:rsidR="006533FF" w:rsidRPr="009C42AC" w:rsidRDefault="006533FF" w:rsidP="00B627AF">
            <w:pPr>
              <w:spacing w:line="480" w:lineRule="auto"/>
              <w:ind w:right="-360"/>
              <w:jc w:val="both"/>
            </w:pPr>
            <w:r>
              <w:t xml:space="preserve">Fresh </w:t>
            </w:r>
            <w:r w:rsidRPr="00F65F5E">
              <w:t>grapefruit</w:t>
            </w:r>
            <w:r>
              <w:t xml:space="preserve"> juice</w:t>
            </w:r>
            <w:r w:rsidRPr="009C42AC">
              <w:t xml:space="preserve"> +</w:t>
            </w:r>
            <w:r>
              <w:t xml:space="preserve"> Midazolam (15 mg/3 ml</w:t>
            </w:r>
            <w:r w:rsidRPr="009C42AC">
              <w:t>)</w:t>
            </w:r>
          </w:p>
        </w:tc>
        <w:tc>
          <w:tcPr>
            <w:tcW w:w="1545" w:type="dxa"/>
            <w:shd w:val="clear" w:color="auto" w:fill="auto"/>
          </w:tcPr>
          <w:p w:rsidR="006533FF" w:rsidRPr="009C42AC" w:rsidRDefault="006533FF" w:rsidP="00B627AF">
            <w:pPr>
              <w:spacing w:line="480" w:lineRule="auto"/>
              <w:ind w:right="-360"/>
              <w:jc w:val="both"/>
            </w:pPr>
            <w:r w:rsidRPr="0018142B">
              <w:rPr>
                <w:bCs/>
              </w:rPr>
              <w:t>2.58</w:t>
            </w:r>
          </w:p>
        </w:tc>
      </w:tr>
    </w:tbl>
    <w:p w:rsidR="006533FF" w:rsidRDefault="006533FF" w:rsidP="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rsidP="006533FF">
      <w:pPr>
        <w:jc w:val="both"/>
        <w:rPr>
          <w:b/>
        </w:rPr>
      </w:pPr>
      <w:r w:rsidRPr="00E43712">
        <w:rPr>
          <w:b/>
        </w:rPr>
        <w:lastRenderedPageBreak/>
        <w:t>Tabl</w:t>
      </w:r>
      <w:r>
        <w:rPr>
          <w:b/>
        </w:rPr>
        <w:t>e</w:t>
      </w:r>
      <w:r w:rsidRPr="00E43712">
        <w:rPr>
          <w:b/>
        </w:rPr>
        <w:t xml:space="preserve"> </w:t>
      </w:r>
      <w:r>
        <w:rPr>
          <w:b/>
        </w:rPr>
        <w:t xml:space="preserve">2. </w:t>
      </w:r>
      <w:r w:rsidRPr="00314FBA">
        <w:t>Frankl Behavioral Scale</w:t>
      </w:r>
    </w:p>
    <w:tbl>
      <w:tblPr>
        <w:tblpPr w:leftFromText="141" w:rightFromText="141" w:vertAnchor="text" w:horzAnchor="margin" w:tblpY="180"/>
        <w:tblW w:w="9054" w:type="dxa"/>
        <w:tblBorders>
          <w:top w:val="single" w:sz="4" w:space="0" w:color="auto"/>
        </w:tblBorders>
        <w:tblLook w:val="01E0" w:firstRow="1" w:lastRow="1" w:firstColumn="1" w:lastColumn="1" w:noHBand="0" w:noVBand="0"/>
      </w:tblPr>
      <w:tblGrid>
        <w:gridCol w:w="830"/>
        <w:gridCol w:w="2256"/>
        <w:gridCol w:w="5968"/>
      </w:tblGrid>
      <w:tr w:rsidR="006533FF" w:rsidRPr="008233D4" w:rsidTr="00B627AF">
        <w:trPr>
          <w:trHeight w:val="855"/>
        </w:trPr>
        <w:tc>
          <w:tcPr>
            <w:tcW w:w="830" w:type="dxa"/>
            <w:tcBorders>
              <w:top w:val="single" w:sz="4" w:space="0" w:color="auto"/>
              <w:bottom w:val="single" w:sz="4" w:space="0" w:color="auto"/>
            </w:tcBorders>
            <w:shd w:val="clear" w:color="auto" w:fill="auto"/>
          </w:tcPr>
          <w:p w:rsidR="006533FF" w:rsidRPr="008233D4" w:rsidRDefault="006533FF" w:rsidP="00B627AF">
            <w:pPr>
              <w:rPr>
                <w:b/>
              </w:rPr>
            </w:pPr>
          </w:p>
          <w:p w:rsidR="006533FF" w:rsidRPr="008233D4" w:rsidRDefault="006533FF" w:rsidP="00B627AF">
            <w:pPr>
              <w:rPr>
                <w:b/>
              </w:rPr>
            </w:pPr>
            <w:r w:rsidRPr="008233D4">
              <w:rPr>
                <w:b/>
              </w:rPr>
              <w:t>Score</w:t>
            </w:r>
          </w:p>
        </w:tc>
        <w:tc>
          <w:tcPr>
            <w:tcW w:w="2256" w:type="dxa"/>
            <w:tcBorders>
              <w:top w:val="single" w:sz="4" w:space="0" w:color="auto"/>
              <w:bottom w:val="single" w:sz="4" w:space="0" w:color="auto"/>
            </w:tcBorders>
            <w:shd w:val="clear" w:color="auto" w:fill="auto"/>
          </w:tcPr>
          <w:p w:rsidR="006533FF" w:rsidRPr="008233D4" w:rsidRDefault="006533FF" w:rsidP="00B627AF">
            <w:pPr>
              <w:rPr>
                <w:b/>
              </w:rPr>
            </w:pPr>
          </w:p>
          <w:p w:rsidR="006533FF" w:rsidRPr="008233D4" w:rsidRDefault="006533FF" w:rsidP="00B627AF">
            <w:pPr>
              <w:rPr>
                <w:b/>
              </w:rPr>
            </w:pPr>
            <w:proofErr w:type="spellStart"/>
            <w:r w:rsidRPr="008233D4">
              <w:rPr>
                <w:b/>
              </w:rPr>
              <w:t>Skoring</w:t>
            </w:r>
            <w:proofErr w:type="spellEnd"/>
          </w:p>
        </w:tc>
        <w:tc>
          <w:tcPr>
            <w:tcW w:w="5968" w:type="dxa"/>
            <w:tcBorders>
              <w:top w:val="single" w:sz="4" w:space="0" w:color="auto"/>
              <w:bottom w:val="single" w:sz="4" w:space="0" w:color="auto"/>
            </w:tcBorders>
            <w:shd w:val="clear" w:color="auto" w:fill="auto"/>
          </w:tcPr>
          <w:p w:rsidR="006533FF" w:rsidRPr="008233D4" w:rsidRDefault="006533FF" w:rsidP="00B627AF">
            <w:pPr>
              <w:rPr>
                <w:b/>
              </w:rPr>
            </w:pPr>
          </w:p>
          <w:p w:rsidR="006533FF" w:rsidRPr="008233D4" w:rsidRDefault="006533FF" w:rsidP="00B627AF">
            <w:pPr>
              <w:rPr>
                <w:b/>
              </w:rPr>
            </w:pPr>
            <w:r w:rsidRPr="008233D4">
              <w:rPr>
                <w:b/>
              </w:rPr>
              <w:t>Observed behavior</w:t>
            </w:r>
          </w:p>
          <w:p w:rsidR="006533FF" w:rsidRPr="008233D4" w:rsidRDefault="006533FF" w:rsidP="00B627AF">
            <w:pPr>
              <w:rPr>
                <w:b/>
              </w:rPr>
            </w:pPr>
          </w:p>
        </w:tc>
      </w:tr>
      <w:tr w:rsidR="006533FF" w:rsidRPr="008233D4" w:rsidTr="00B627AF">
        <w:trPr>
          <w:trHeight w:val="381"/>
        </w:trPr>
        <w:tc>
          <w:tcPr>
            <w:tcW w:w="830" w:type="dxa"/>
            <w:tcBorders>
              <w:top w:val="single" w:sz="4" w:space="0" w:color="auto"/>
            </w:tcBorders>
            <w:shd w:val="clear" w:color="auto" w:fill="auto"/>
          </w:tcPr>
          <w:p w:rsidR="006533FF" w:rsidRPr="00D12806" w:rsidRDefault="006533FF" w:rsidP="00B627AF">
            <w:r w:rsidRPr="00D12806">
              <w:t>1</w:t>
            </w:r>
          </w:p>
        </w:tc>
        <w:tc>
          <w:tcPr>
            <w:tcW w:w="2256" w:type="dxa"/>
            <w:tcBorders>
              <w:top w:val="single" w:sz="4" w:space="0" w:color="auto"/>
            </w:tcBorders>
            <w:shd w:val="clear" w:color="auto" w:fill="auto"/>
          </w:tcPr>
          <w:p w:rsidR="006533FF" w:rsidRPr="00D12806" w:rsidRDefault="006533FF" w:rsidP="00B627AF">
            <w:r w:rsidRPr="00D12806">
              <w:t xml:space="preserve">Definitely positive </w:t>
            </w:r>
          </w:p>
        </w:tc>
        <w:tc>
          <w:tcPr>
            <w:tcW w:w="5968" w:type="dxa"/>
            <w:tcBorders>
              <w:top w:val="single" w:sz="4" w:space="0" w:color="auto"/>
            </w:tcBorders>
            <w:shd w:val="clear" w:color="auto" w:fill="auto"/>
          </w:tcPr>
          <w:p w:rsidR="006533FF" w:rsidRPr="00D12806" w:rsidRDefault="006533FF" w:rsidP="00B627AF">
            <w:pPr>
              <w:jc w:val="both"/>
            </w:pPr>
            <w:r w:rsidRPr="00D12806">
              <w:t>Good rapport with the dentist, interested in the dental</w:t>
            </w:r>
          </w:p>
          <w:p w:rsidR="006533FF" w:rsidRPr="00D12806" w:rsidRDefault="006533FF" w:rsidP="00B627AF">
            <w:pPr>
              <w:jc w:val="both"/>
            </w:pPr>
            <w:r w:rsidRPr="00D12806">
              <w:t>procedures, laughing and enjoying the situation.</w:t>
            </w:r>
          </w:p>
        </w:tc>
      </w:tr>
      <w:tr w:rsidR="006533FF" w:rsidRPr="008233D4" w:rsidTr="00B627AF">
        <w:trPr>
          <w:trHeight w:val="800"/>
        </w:trPr>
        <w:tc>
          <w:tcPr>
            <w:tcW w:w="830" w:type="dxa"/>
            <w:shd w:val="clear" w:color="auto" w:fill="auto"/>
          </w:tcPr>
          <w:p w:rsidR="006533FF" w:rsidRPr="00D12806" w:rsidRDefault="006533FF" w:rsidP="00B627AF">
            <w:r w:rsidRPr="00D12806">
              <w:t>2</w:t>
            </w:r>
          </w:p>
        </w:tc>
        <w:tc>
          <w:tcPr>
            <w:tcW w:w="2256" w:type="dxa"/>
            <w:shd w:val="clear" w:color="auto" w:fill="auto"/>
          </w:tcPr>
          <w:p w:rsidR="006533FF" w:rsidRPr="00D12806" w:rsidRDefault="006533FF" w:rsidP="00B627AF">
            <w:r w:rsidRPr="00D12806">
              <w:t xml:space="preserve">Positive </w:t>
            </w:r>
          </w:p>
        </w:tc>
        <w:tc>
          <w:tcPr>
            <w:tcW w:w="5968" w:type="dxa"/>
            <w:shd w:val="clear" w:color="auto" w:fill="auto"/>
          </w:tcPr>
          <w:p w:rsidR="006533FF" w:rsidRPr="00D12806" w:rsidRDefault="006533FF" w:rsidP="00B627AF">
            <w:pPr>
              <w:jc w:val="both"/>
            </w:pPr>
            <w:r w:rsidRPr="00D12806">
              <w:t>Acceptance of treatment; at times cautious, willingness</w:t>
            </w:r>
          </w:p>
          <w:p w:rsidR="006533FF" w:rsidRPr="00D12806" w:rsidRDefault="006533FF" w:rsidP="00B627AF">
            <w:pPr>
              <w:jc w:val="both"/>
            </w:pPr>
            <w:r w:rsidRPr="00D12806">
              <w:t>to comply with the dentist, at times with reservation but</w:t>
            </w:r>
          </w:p>
          <w:p w:rsidR="006533FF" w:rsidRPr="00D12806" w:rsidRDefault="006533FF" w:rsidP="00B627AF">
            <w:pPr>
              <w:jc w:val="both"/>
            </w:pPr>
            <w:r w:rsidRPr="00D12806">
              <w:t>patient follows the dentist's directions cooperatively.</w:t>
            </w:r>
          </w:p>
        </w:tc>
      </w:tr>
      <w:tr w:rsidR="006533FF" w:rsidRPr="008233D4" w:rsidTr="00B627AF">
        <w:trPr>
          <w:trHeight w:val="787"/>
        </w:trPr>
        <w:tc>
          <w:tcPr>
            <w:tcW w:w="830" w:type="dxa"/>
            <w:shd w:val="clear" w:color="auto" w:fill="auto"/>
          </w:tcPr>
          <w:p w:rsidR="006533FF" w:rsidRPr="00D12806" w:rsidRDefault="006533FF" w:rsidP="00B627AF">
            <w:r w:rsidRPr="00D12806">
              <w:t>3</w:t>
            </w:r>
          </w:p>
        </w:tc>
        <w:tc>
          <w:tcPr>
            <w:tcW w:w="2256" w:type="dxa"/>
            <w:shd w:val="clear" w:color="auto" w:fill="auto"/>
          </w:tcPr>
          <w:p w:rsidR="006533FF" w:rsidRPr="00D12806" w:rsidRDefault="006533FF" w:rsidP="00B627AF">
            <w:r w:rsidRPr="00D12806">
              <w:t xml:space="preserve">Negative </w:t>
            </w:r>
          </w:p>
        </w:tc>
        <w:tc>
          <w:tcPr>
            <w:tcW w:w="5968" w:type="dxa"/>
            <w:shd w:val="clear" w:color="auto" w:fill="auto"/>
          </w:tcPr>
          <w:p w:rsidR="006533FF" w:rsidRPr="00D12806" w:rsidRDefault="006533FF" w:rsidP="00B627AF">
            <w:pPr>
              <w:jc w:val="both"/>
            </w:pPr>
            <w:r w:rsidRPr="00D12806">
              <w:t>Reluctant to accept treatment; uncooperative, some evidence of negative attitude but not pronounced, i.e. /sullen, withdrawn.</w:t>
            </w:r>
          </w:p>
        </w:tc>
      </w:tr>
      <w:tr w:rsidR="006533FF" w:rsidRPr="008233D4" w:rsidTr="00B627AF">
        <w:trPr>
          <w:trHeight w:val="272"/>
        </w:trPr>
        <w:tc>
          <w:tcPr>
            <w:tcW w:w="830" w:type="dxa"/>
            <w:shd w:val="clear" w:color="auto" w:fill="auto"/>
          </w:tcPr>
          <w:p w:rsidR="006533FF" w:rsidRPr="00D12806" w:rsidRDefault="006533FF" w:rsidP="00B627AF">
            <w:r w:rsidRPr="00D12806">
              <w:t>4</w:t>
            </w:r>
          </w:p>
        </w:tc>
        <w:tc>
          <w:tcPr>
            <w:tcW w:w="2256" w:type="dxa"/>
            <w:shd w:val="clear" w:color="auto" w:fill="auto"/>
          </w:tcPr>
          <w:p w:rsidR="006533FF" w:rsidRPr="00D12806" w:rsidRDefault="006533FF" w:rsidP="00B627AF">
            <w:r w:rsidRPr="00D12806">
              <w:t xml:space="preserve">Definitely negative </w:t>
            </w:r>
          </w:p>
        </w:tc>
        <w:tc>
          <w:tcPr>
            <w:tcW w:w="5968" w:type="dxa"/>
            <w:shd w:val="clear" w:color="auto" w:fill="auto"/>
          </w:tcPr>
          <w:p w:rsidR="006533FF" w:rsidRPr="00D12806" w:rsidRDefault="006533FF" w:rsidP="00B627AF">
            <w:pPr>
              <w:jc w:val="both"/>
            </w:pPr>
            <w:r w:rsidRPr="00D12806">
              <w:t>Refusal of treatment, crying forcefully, fearful or any</w:t>
            </w:r>
          </w:p>
          <w:p w:rsidR="006533FF" w:rsidRPr="00D12806" w:rsidRDefault="006533FF" w:rsidP="00B627AF">
            <w:pPr>
              <w:jc w:val="both"/>
            </w:pPr>
            <w:r w:rsidRPr="00D12806">
              <w:t>other overt evidence of extreme negativism.</w:t>
            </w:r>
          </w:p>
        </w:tc>
      </w:tr>
    </w:tbl>
    <w:p w:rsidR="006533FF" w:rsidRDefault="006533FF" w:rsidP="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rsidP="006533FF">
      <w:pPr>
        <w:ind w:right="-360"/>
        <w:jc w:val="both"/>
        <w:rPr>
          <w:b/>
        </w:rPr>
      </w:pPr>
      <w:r>
        <w:rPr>
          <w:b/>
        </w:rPr>
        <w:lastRenderedPageBreak/>
        <w:t xml:space="preserve">Table 3. </w:t>
      </w:r>
      <w:r w:rsidRPr="00314FBA">
        <w:t>Ramsay Sedation Scale</w:t>
      </w:r>
    </w:p>
    <w:p w:rsidR="006533FF" w:rsidRDefault="006533FF" w:rsidP="006533FF">
      <w:pPr>
        <w:ind w:right="-360"/>
        <w:jc w:val="both"/>
        <w:rPr>
          <w:b/>
        </w:rPr>
      </w:pPr>
    </w:p>
    <w:tbl>
      <w:tblPr>
        <w:tblW w:w="0" w:type="auto"/>
        <w:tblInd w:w="38" w:type="dxa"/>
        <w:tblBorders>
          <w:top w:val="single" w:sz="4" w:space="0" w:color="auto"/>
        </w:tblBorders>
        <w:tblLayout w:type="fixed"/>
        <w:tblLook w:val="01E0" w:firstRow="1" w:lastRow="1" w:firstColumn="1" w:lastColumn="1" w:noHBand="0" w:noVBand="0"/>
      </w:tblPr>
      <w:tblGrid>
        <w:gridCol w:w="7046"/>
        <w:gridCol w:w="1080"/>
      </w:tblGrid>
      <w:tr w:rsidR="006533FF" w:rsidRPr="008233D4" w:rsidTr="00B627AF">
        <w:trPr>
          <w:trHeight w:val="494"/>
        </w:trPr>
        <w:tc>
          <w:tcPr>
            <w:tcW w:w="7046" w:type="dxa"/>
            <w:tcBorders>
              <w:top w:val="single" w:sz="4" w:space="0" w:color="auto"/>
              <w:bottom w:val="single" w:sz="4" w:space="0" w:color="auto"/>
            </w:tcBorders>
            <w:shd w:val="clear" w:color="auto" w:fill="auto"/>
          </w:tcPr>
          <w:p w:rsidR="006533FF" w:rsidRPr="008233D4" w:rsidRDefault="006533FF" w:rsidP="00B627AF">
            <w:pPr>
              <w:ind w:right="-108"/>
              <w:jc w:val="both"/>
              <w:rPr>
                <w:b/>
              </w:rPr>
            </w:pPr>
          </w:p>
          <w:p w:rsidR="006533FF" w:rsidRPr="008233D4" w:rsidRDefault="006533FF" w:rsidP="00B627AF">
            <w:pPr>
              <w:ind w:right="-360"/>
              <w:jc w:val="both"/>
              <w:rPr>
                <w:b/>
              </w:rPr>
            </w:pPr>
            <w:r w:rsidRPr="008233D4">
              <w:rPr>
                <w:b/>
              </w:rPr>
              <w:t>Ramsay Sedation Scale</w:t>
            </w:r>
          </w:p>
          <w:p w:rsidR="006533FF" w:rsidRPr="008233D4" w:rsidRDefault="006533FF" w:rsidP="00B627AF">
            <w:pPr>
              <w:ind w:right="-360"/>
              <w:jc w:val="both"/>
              <w:rPr>
                <w:b/>
              </w:rPr>
            </w:pPr>
          </w:p>
        </w:tc>
        <w:tc>
          <w:tcPr>
            <w:tcW w:w="1080" w:type="dxa"/>
            <w:tcBorders>
              <w:top w:val="single" w:sz="4" w:space="0" w:color="auto"/>
              <w:bottom w:val="single" w:sz="4" w:space="0" w:color="auto"/>
            </w:tcBorders>
            <w:shd w:val="clear" w:color="auto" w:fill="auto"/>
          </w:tcPr>
          <w:p w:rsidR="006533FF" w:rsidRPr="008233D4" w:rsidRDefault="006533FF" w:rsidP="00B627AF">
            <w:pPr>
              <w:ind w:right="-360"/>
              <w:rPr>
                <w:b/>
              </w:rPr>
            </w:pPr>
          </w:p>
          <w:p w:rsidR="006533FF" w:rsidRPr="008233D4" w:rsidRDefault="006533FF" w:rsidP="00B627AF">
            <w:pPr>
              <w:ind w:right="-360"/>
              <w:rPr>
                <w:b/>
              </w:rPr>
            </w:pPr>
            <w:r w:rsidRPr="008233D4">
              <w:rPr>
                <w:b/>
              </w:rPr>
              <w:t>Score</w:t>
            </w:r>
          </w:p>
        </w:tc>
      </w:tr>
      <w:tr w:rsidR="006533FF" w:rsidRPr="008233D4" w:rsidTr="00B627AF">
        <w:trPr>
          <w:trHeight w:val="494"/>
        </w:trPr>
        <w:tc>
          <w:tcPr>
            <w:tcW w:w="7046" w:type="dxa"/>
            <w:tcBorders>
              <w:top w:val="single" w:sz="4" w:space="0" w:color="auto"/>
            </w:tcBorders>
            <w:shd w:val="clear" w:color="auto" w:fill="auto"/>
          </w:tcPr>
          <w:p w:rsidR="006533FF" w:rsidRPr="008233D4" w:rsidRDefault="006533FF" w:rsidP="00B627AF">
            <w:pPr>
              <w:spacing w:line="480" w:lineRule="auto"/>
              <w:ind w:right="-360"/>
              <w:jc w:val="both"/>
              <w:rPr>
                <w:color w:val="000000"/>
              </w:rPr>
            </w:pPr>
            <w:r w:rsidRPr="008233D4">
              <w:rPr>
                <w:color w:val="000000"/>
              </w:rPr>
              <w:t>Patient anxious and agitated</w:t>
            </w:r>
          </w:p>
        </w:tc>
        <w:tc>
          <w:tcPr>
            <w:tcW w:w="1080" w:type="dxa"/>
            <w:tcBorders>
              <w:top w:val="single" w:sz="4" w:space="0" w:color="auto"/>
            </w:tcBorders>
            <w:shd w:val="clear" w:color="auto" w:fill="auto"/>
          </w:tcPr>
          <w:p w:rsidR="006533FF" w:rsidRPr="008233D4" w:rsidRDefault="006533FF" w:rsidP="00B627AF">
            <w:pPr>
              <w:spacing w:line="480" w:lineRule="auto"/>
              <w:ind w:right="-360"/>
              <w:rPr>
                <w:b/>
              </w:rPr>
            </w:pPr>
            <w:r w:rsidRPr="008233D4">
              <w:rPr>
                <w:b/>
              </w:rPr>
              <w:t>1</w:t>
            </w:r>
          </w:p>
        </w:tc>
      </w:tr>
      <w:tr w:rsidR="006533FF" w:rsidRPr="008233D4" w:rsidTr="00B627AF">
        <w:trPr>
          <w:trHeight w:val="494"/>
        </w:trPr>
        <w:tc>
          <w:tcPr>
            <w:tcW w:w="7046" w:type="dxa"/>
            <w:shd w:val="clear" w:color="auto" w:fill="auto"/>
          </w:tcPr>
          <w:p w:rsidR="006533FF" w:rsidRPr="008233D4" w:rsidRDefault="006533FF" w:rsidP="00B627AF">
            <w:pPr>
              <w:spacing w:line="480" w:lineRule="auto"/>
              <w:ind w:right="-360"/>
              <w:jc w:val="both"/>
              <w:rPr>
                <w:color w:val="000000"/>
              </w:rPr>
            </w:pPr>
            <w:r w:rsidRPr="008233D4">
              <w:rPr>
                <w:color w:val="000000"/>
              </w:rPr>
              <w:t>Patient cooperative oriented and tranquil</w:t>
            </w:r>
          </w:p>
        </w:tc>
        <w:tc>
          <w:tcPr>
            <w:tcW w:w="1080" w:type="dxa"/>
            <w:shd w:val="clear" w:color="auto" w:fill="auto"/>
          </w:tcPr>
          <w:p w:rsidR="006533FF" w:rsidRPr="008233D4" w:rsidRDefault="006533FF" w:rsidP="00B627AF">
            <w:pPr>
              <w:spacing w:line="480" w:lineRule="auto"/>
              <w:ind w:right="-360"/>
              <w:rPr>
                <w:b/>
              </w:rPr>
            </w:pPr>
            <w:r w:rsidRPr="008233D4">
              <w:rPr>
                <w:b/>
              </w:rPr>
              <w:t>2</w:t>
            </w:r>
          </w:p>
        </w:tc>
      </w:tr>
      <w:tr w:rsidR="006533FF" w:rsidRPr="008233D4" w:rsidTr="00B627AF">
        <w:trPr>
          <w:trHeight w:val="503"/>
        </w:trPr>
        <w:tc>
          <w:tcPr>
            <w:tcW w:w="7046" w:type="dxa"/>
            <w:shd w:val="clear" w:color="auto" w:fill="auto"/>
          </w:tcPr>
          <w:p w:rsidR="006533FF" w:rsidRPr="008233D4" w:rsidRDefault="006533FF" w:rsidP="00B627AF">
            <w:pPr>
              <w:spacing w:line="480" w:lineRule="auto"/>
              <w:ind w:right="-360"/>
              <w:jc w:val="both"/>
              <w:rPr>
                <w:b/>
                <w:color w:val="000000"/>
              </w:rPr>
            </w:pPr>
            <w:r w:rsidRPr="008233D4">
              <w:rPr>
                <w:color w:val="000000"/>
              </w:rPr>
              <w:t>Patient responding to commands only</w:t>
            </w:r>
          </w:p>
        </w:tc>
        <w:tc>
          <w:tcPr>
            <w:tcW w:w="1080" w:type="dxa"/>
            <w:shd w:val="clear" w:color="auto" w:fill="auto"/>
          </w:tcPr>
          <w:p w:rsidR="006533FF" w:rsidRPr="008233D4" w:rsidRDefault="006533FF" w:rsidP="00B627AF">
            <w:pPr>
              <w:spacing w:line="480" w:lineRule="auto"/>
              <w:ind w:right="-360"/>
              <w:rPr>
                <w:b/>
              </w:rPr>
            </w:pPr>
            <w:r w:rsidRPr="008233D4">
              <w:rPr>
                <w:b/>
              </w:rPr>
              <w:t>3</w:t>
            </w:r>
          </w:p>
        </w:tc>
      </w:tr>
      <w:tr w:rsidR="006533FF" w:rsidRPr="008233D4" w:rsidTr="00B627AF">
        <w:trPr>
          <w:trHeight w:val="448"/>
        </w:trPr>
        <w:tc>
          <w:tcPr>
            <w:tcW w:w="7046" w:type="dxa"/>
            <w:shd w:val="clear" w:color="auto" w:fill="auto"/>
          </w:tcPr>
          <w:p w:rsidR="006533FF" w:rsidRPr="008233D4" w:rsidRDefault="006533FF" w:rsidP="00B627AF">
            <w:pPr>
              <w:spacing w:line="480" w:lineRule="auto"/>
              <w:ind w:right="-360"/>
              <w:jc w:val="both"/>
              <w:rPr>
                <w:color w:val="000000"/>
              </w:rPr>
            </w:pPr>
            <w:r w:rsidRPr="008233D4">
              <w:rPr>
                <w:color w:val="000000"/>
              </w:rPr>
              <w:t>Patient responding briskly to a light glabellar tap or to verbal stimulus</w:t>
            </w:r>
          </w:p>
        </w:tc>
        <w:tc>
          <w:tcPr>
            <w:tcW w:w="1080" w:type="dxa"/>
            <w:shd w:val="clear" w:color="auto" w:fill="auto"/>
          </w:tcPr>
          <w:p w:rsidR="006533FF" w:rsidRPr="008233D4" w:rsidRDefault="006533FF" w:rsidP="00B627AF">
            <w:pPr>
              <w:spacing w:line="480" w:lineRule="auto"/>
              <w:ind w:right="-360"/>
              <w:rPr>
                <w:b/>
              </w:rPr>
            </w:pPr>
            <w:r w:rsidRPr="008233D4">
              <w:rPr>
                <w:b/>
              </w:rPr>
              <w:t>4</w:t>
            </w:r>
          </w:p>
        </w:tc>
      </w:tr>
      <w:tr w:rsidR="006533FF" w:rsidRPr="008233D4" w:rsidTr="00B627AF">
        <w:trPr>
          <w:trHeight w:val="441"/>
        </w:trPr>
        <w:tc>
          <w:tcPr>
            <w:tcW w:w="7046" w:type="dxa"/>
            <w:shd w:val="clear" w:color="auto" w:fill="auto"/>
          </w:tcPr>
          <w:p w:rsidR="006533FF" w:rsidRPr="008233D4" w:rsidRDefault="006533FF" w:rsidP="00B627AF">
            <w:pPr>
              <w:spacing w:line="480" w:lineRule="auto"/>
              <w:ind w:right="-76"/>
              <w:jc w:val="both"/>
              <w:rPr>
                <w:b/>
                <w:color w:val="000000"/>
              </w:rPr>
            </w:pPr>
            <w:r w:rsidRPr="008233D4">
              <w:rPr>
                <w:color w:val="000000"/>
              </w:rPr>
              <w:t>Patient responding sluggishly to a light glabellar tap to verbal stimulus</w:t>
            </w:r>
          </w:p>
        </w:tc>
        <w:tc>
          <w:tcPr>
            <w:tcW w:w="1080" w:type="dxa"/>
            <w:shd w:val="clear" w:color="auto" w:fill="auto"/>
          </w:tcPr>
          <w:p w:rsidR="006533FF" w:rsidRPr="008233D4" w:rsidRDefault="006533FF" w:rsidP="00B627AF">
            <w:pPr>
              <w:spacing w:line="480" w:lineRule="auto"/>
              <w:ind w:right="-360"/>
              <w:rPr>
                <w:b/>
              </w:rPr>
            </w:pPr>
            <w:r w:rsidRPr="008233D4">
              <w:rPr>
                <w:b/>
              </w:rPr>
              <w:t>5</w:t>
            </w:r>
          </w:p>
        </w:tc>
      </w:tr>
      <w:tr w:rsidR="006533FF" w:rsidRPr="00A6531B" w:rsidTr="00B627AF">
        <w:trPr>
          <w:trHeight w:val="503"/>
        </w:trPr>
        <w:tc>
          <w:tcPr>
            <w:tcW w:w="7046" w:type="dxa"/>
            <w:shd w:val="clear" w:color="auto" w:fill="auto"/>
          </w:tcPr>
          <w:p w:rsidR="006533FF" w:rsidRPr="008233D4" w:rsidRDefault="006533FF" w:rsidP="00B627AF">
            <w:pPr>
              <w:spacing w:line="480" w:lineRule="auto"/>
              <w:ind w:right="-360"/>
              <w:jc w:val="both"/>
              <w:rPr>
                <w:color w:val="000000"/>
              </w:rPr>
            </w:pPr>
            <w:r w:rsidRPr="008233D4">
              <w:rPr>
                <w:color w:val="000000"/>
              </w:rPr>
              <w:t>No response to stimulus</w:t>
            </w:r>
          </w:p>
        </w:tc>
        <w:tc>
          <w:tcPr>
            <w:tcW w:w="1080" w:type="dxa"/>
            <w:shd w:val="clear" w:color="auto" w:fill="auto"/>
          </w:tcPr>
          <w:p w:rsidR="006533FF" w:rsidRPr="008233D4" w:rsidRDefault="006533FF" w:rsidP="00B627AF">
            <w:pPr>
              <w:spacing w:line="480" w:lineRule="auto"/>
              <w:ind w:right="-360"/>
              <w:rPr>
                <w:b/>
              </w:rPr>
            </w:pPr>
            <w:r w:rsidRPr="008233D4">
              <w:rPr>
                <w:b/>
              </w:rPr>
              <w:t>6</w:t>
            </w:r>
          </w:p>
        </w:tc>
      </w:tr>
    </w:tbl>
    <w:p w:rsidR="006533FF" w:rsidRPr="00A6531B" w:rsidRDefault="006533FF" w:rsidP="006533FF">
      <w:pPr>
        <w:ind w:right="-360"/>
        <w:jc w:val="both"/>
      </w:pPr>
    </w:p>
    <w:p w:rsidR="006533FF" w:rsidRDefault="006533FF" w:rsidP="006533FF">
      <w:pPr>
        <w:ind w:right="-360"/>
        <w:jc w:val="both"/>
        <w:rPr>
          <w:b/>
        </w:rPr>
      </w:pPr>
    </w:p>
    <w:p w:rsidR="006533FF" w:rsidRDefault="006533FF" w:rsidP="006533FF">
      <w:pPr>
        <w:ind w:right="-360"/>
        <w:jc w:val="both"/>
        <w:rPr>
          <w:b/>
        </w:rPr>
      </w:pPr>
    </w:p>
    <w:p w:rsidR="006533FF" w:rsidRDefault="006533FF" w:rsidP="006533FF">
      <w:pPr>
        <w:ind w:right="-360"/>
        <w:jc w:val="both"/>
        <w:rPr>
          <w:b/>
        </w:rPr>
      </w:pPr>
    </w:p>
    <w:p w:rsidR="006533FF" w:rsidRDefault="006533FF" w:rsidP="006533FF">
      <w:pPr>
        <w:ind w:right="-360"/>
        <w:jc w:val="both"/>
        <w:rPr>
          <w:b/>
        </w:rPr>
      </w:pPr>
    </w:p>
    <w:p w:rsidR="006533FF" w:rsidRDefault="006533FF" w:rsidP="006533FF">
      <w:pPr>
        <w:ind w:right="-360"/>
        <w:jc w:val="both"/>
        <w:rPr>
          <w:b/>
        </w:rPr>
      </w:pPr>
    </w:p>
    <w:p w:rsidR="006533FF" w:rsidRDefault="006533FF" w:rsidP="006533FF">
      <w:pPr>
        <w:ind w:right="-360"/>
        <w:jc w:val="both"/>
        <w:rPr>
          <w:b/>
        </w:rPr>
      </w:pPr>
    </w:p>
    <w:p w:rsidR="006533FF" w:rsidRDefault="006533FF" w:rsidP="006533FF">
      <w:pPr>
        <w:ind w:right="-360"/>
        <w:jc w:val="both"/>
        <w:rPr>
          <w:b/>
        </w:rPr>
      </w:pPr>
    </w:p>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rsidP="006533FF">
      <w:pPr>
        <w:rPr>
          <w:color w:val="000000"/>
        </w:rPr>
      </w:pPr>
      <w:r w:rsidRPr="00314FBA">
        <w:rPr>
          <w:b/>
          <w:color w:val="000000"/>
        </w:rPr>
        <w:lastRenderedPageBreak/>
        <w:t>Table 4.</w:t>
      </w:r>
      <w:r w:rsidRPr="00314FBA">
        <w:rPr>
          <w:color w:val="000000"/>
        </w:rPr>
        <w:t xml:space="preserve"> Post Anesthetic Discharge Scoring System (PADS)</w:t>
      </w:r>
    </w:p>
    <w:p w:rsidR="006533FF" w:rsidRPr="00314FBA" w:rsidRDefault="006533FF" w:rsidP="006533FF">
      <w:pPr>
        <w:rPr>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477"/>
      </w:tblGrid>
      <w:tr w:rsidR="006533FF" w:rsidTr="00B627AF">
        <w:tc>
          <w:tcPr>
            <w:tcW w:w="4531" w:type="dxa"/>
            <w:shd w:val="clear" w:color="auto" w:fill="auto"/>
          </w:tcPr>
          <w:p w:rsidR="006533FF" w:rsidRPr="0018142B" w:rsidRDefault="006533FF" w:rsidP="00B627AF">
            <w:pPr>
              <w:rPr>
                <w:b/>
                <w:color w:val="000000"/>
              </w:rPr>
            </w:pPr>
            <w:r w:rsidRPr="0018142B">
              <w:rPr>
                <w:b/>
                <w:color w:val="000000"/>
              </w:rPr>
              <w:t>Vital Signs</w:t>
            </w:r>
          </w:p>
        </w:tc>
        <w:tc>
          <w:tcPr>
            <w:tcW w:w="4531" w:type="dxa"/>
            <w:shd w:val="clear" w:color="auto" w:fill="auto"/>
          </w:tcPr>
          <w:p w:rsidR="006533FF" w:rsidRPr="0018142B" w:rsidRDefault="006533FF" w:rsidP="00B627AF">
            <w:pPr>
              <w:rPr>
                <w:color w:val="000000"/>
              </w:rPr>
            </w:pPr>
            <w:r w:rsidRPr="0018142B">
              <w:rPr>
                <w:color w:val="000000"/>
              </w:rPr>
              <w:t xml:space="preserve">2= within 20% of preoperative value </w:t>
            </w:r>
          </w:p>
          <w:p w:rsidR="006533FF" w:rsidRPr="0018142B" w:rsidRDefault="006533FF" w:rsidP="00B627AF">
            <w:pPr>
              <w:rPr>
                <w:color w:val="000000"/>
              </w:rPr>
            </w:pPr>
            <w:r w:rsidRPr="0018142B">
              <w:rPr>
                <w:color w:val="000000"/>
              </w:rPr>
              <w:t xml:space="preserve">1= 20%-40% of preoperative value </w:t>
            </w:r>
          </w:p>
          <w:p w:rsidR="006533FF" w:rsidRPr="0018142B" w:rsidRDefault="006533FF" w:rsidP="00B627AF">
            <w:pPr>
              <w:rPr>
                <w:color w:val="000000"/>
              </w:rPr>
            </w:pPr>
            <w:r w:rsidRPr="0018142B">
              <w:rPr>
                <w:color w:val="000000"/>
              </w:rPr>
              <w:t>0= &gt; 40% preoperative value</w:t>
            </w:r>
          </w:p>
        </w:tc>
      </w:tr>
      <w:tr w:rsidR="006533FF" w:rsidTr="00B627AF">
        <w:tc>
          <w:tcPr>
            <w:tcW w:w="4531" w:type="dxa"/>
            <w:shd w:val="clear" w:color="auto" w:fill="auto"/>
          </w:tcPr>
          <w:p w:rsidR="006533FF" w:rsidRPr="0018142B" w:rsidRDefault="006533FF" w:rsidP="00B627AF">
            <w:pPr>
              <w:rPr>
                <w:b/>
                <w:color w:val="000000"/>
              </w:rPr>
            </w:pPr>
            <w:r w:rsidRPr="0018142B">
              <w:rPr>
                <w:b/>
                <w:color w:val="000000"/>
              </w:rPr>
              <w:t>Activity and mental status</w:t>
            </w:r>
          </w:p>
        </w:tc>
        <w:tc>
          <w:tcPr>
            <w:tcW w:w="4531" w:type="dxa"/>
            <w:shd w:val="clear" w:color="auto" w:fill="auto"/>
          </w:tcPr>
          <w:p w:rsidR="006533FF" w:rsidRPr="0018142B" w:rsidRDefault="006533FF" w:rsidP="00B627AF">
            <w:pPr>
              <w:rPr>
                <w:color w:val="000000"/>
              </w:rPr>
            </w:pPr>
            <w:r w:rsidRPr="0018142B">
              <w:rPr>
                <w:color w:val="000000"/>
              </w:rPr>
              <w:t xml:space="preserve">2= Oriented x3 AND has a steady gait </w:t>
            </w:r>
          </w:p>
          <w:p w:rsidR="006533FF" w:rsidRPr="0018142B" w:rsidRDefault="006533FF" w:rsidP="00B627AF">
            <w:pPr>
              <w:rPr>
                <w:color w:val="000000"/>
              </w:rPr>
            </w:pPr>
            <w:r w:rsidRPr="0018142B">
              <w:rPr>
                <w:color w:val="000000"/>
              </w:rPr>
              <w:t xml:space="preserve">1= Oriented x3 OR has a steady gait </w:t>
            </w:r>
          </w:p>
          <w:p w:rsidR="006533FF" w:rsidRPr="0018142B" w:rsidRDefault="006533FF" w:rsidP="00B627AF">
            <w:pPr>
              <w:rPr>
                <w:color w:val="000000"/>
              </w:rPr>
            </w:pPr>
            <w:r w:rsidRPr="0018142B">
              <w:rPr>
                <w:color w:val="000000"/>
              </w:rPr>
              <w:t>0= Neither</w:t>
            </w:r>
          </w:p>
        </w:tc>
      </w:tr>
      <w:tr w:rsidR="006533FF" w:rsidTr="00B627AF">
        <w:tc>
          <w:tcPr>
            <w:tcW w:w="4531" w:type="dxa"/>
            <w:shd w:val="clear" w:color="auto" w:fill="auto"/>
          </w:tcPr>
          <w:p w:rsidR="006533FF" w:rsidRPr="0018142B" w:rsidRDefault="006533FF" w:rsidP="00B627AF">
            <w:pPr>
              <w:rPr>
                <w:b/>
                <w:color w:val="000000"/>
              </w:rPr>
            </w:pPr>
            <w:r w:rsidRPr="0018142B">
              <w:rPr>
                <w:b/>
                <w:color w:val="000000"/>
              </w:rPr>
              <w:t>Pain, nausea and/or vomiting</w:t>
            </w:r>
          </w:p>
        </w:tc>
        <w:tc>
          <w:tcPr>
            <w:tcW w:w="4531" w:type="dxa"/>
            <w:shd w:val="clear" w:color="auto" w:fill="auto"/>
          </w:tcPr>
          <w:p w:rsidR="006533FF" w:rsidRPr="0018142B" w:rsidRDefault="006533FF" w:rsidP="00B627AF">
            <w:pPr>
              <w:rPr>
                <w:color w:val="000000"/>
              </w:rPr>
            </w:pPr>
            <w:r w:rsidRPr="0018142B">
              <w:rPr>
                <w:color w:val="000000"/>
              </w:rPr>
              <w:t xml:space="preserve">2= Minimal </w:t>
            </w:r>
          </w:p>
          <w:p w:rsidR="006533FF" w:rsidRPr="0018142B" w:rsidRDefault="006533FF" w:rsidP="00B627AF">
            <w:pPr>
              <w:rPr>
                <w:color w:val="000000"/>
              </w:rPr>
            </w:pPr>
            <w:r w:rsidRPr="0018142B">
              <w:rPr>
                <w:color w:val="000000"/>
              </w:rPr>
              <w:t xml:space="preserve">1= Moderate, having required treatment </w:t>
            </w:r>
          </w:p>
          <w:p w:rsidR="006533FF" w:rsidRPr="0018142B" w:rsidRDefault="006533FF" w:rsidP="00B627AF">
            <w:pPr>
              <w:rPr>
                <w:color w:val="000000"/>
              </w:rPr>
            </w:pPr>
            <w:r w:rsidRPr="0018142B">
              <w:rPr>
                <w:color w:val="000000"/>
              </w:rPr>
              <w:t>0= Severe, requiring treatment</w:t>
            </w:r>
          </w:p>
        </w:tc>
      </w:tr>
      <w:tr w:rsidR="006533FF" w:rsidTr="00B627AF">
        <w:tc>
          <w:tcPr>
            <w:tcW w:w="4531" w:type="dxa"/>
            <w:shd w:val="clear" w:color="auto" w:fill="auto"/>
          </w:tcPr>
          <w:p w:rsidR="006533FF" w:rsidRPr="0018142B" w:rsidRDefault="006533FF" w:rsidP="00B627AF">
            <w:pPr>
              <w:rPr>
                <w:b/>
                <w:color w:val="000000"/>
              </w:rPr>
            </w:pPr>
            <w:r w:rsidRPr="0018142B">
              <w:rPr>
                <w:b/>
                <w:color w:val="000000"/>
              </w:rPr>
              <w:t>Surgical bleeding</w:t>
            </w:r>
          </w:p>
        </w:tc>
        <w:tc>
          <w:tcPr>
            <w:tcW w:w="4531" w:type="dxa"/>
            <w:shd w:val="clear" w:color="auto" w:fill="auto"/>
          </w:tcPr>
          <w:p w:rsidR="006533FF" w:rsidRPr="0018142B" w:rsidRDefault="006533FF" w:rsidP="00B627AF">
            <w:pPr>
              <w:rPr>
                <w:color w:val="000000"/>
              </w:rPr>
            </w:pPr>
            <w:r w:rsidRPr="0018142B">
              <w:rPr>
                <w:color w:val="000000"/>
              </w:rPr>
              <w:t xml:space="preserve">2= Minimal </w:t>
            </w:r>
          </w:p>
          <w:p w:rsidR="006533FF" w:rsidRPr="0018142B" w:rsidRDefault="006533FF" w:rsidP="00B627AF">
            <w:pPr>
              <w:rPr>
                <w:color w:val="000000"/>
              </w:rPr>
            </w:pPr>
            <w:r w:rsidRPr="0018142B">
              <w:rPr>
                <w:color w:val="000000"/>
              </w:rPr>
              <w:t xml:space="preserve">1= Moderate </w:t>
            </w:r>
          </w:p>
          <w:p w:rsidR="006533FF" w:rsidRPr="0018142B" w:rsidRDefault="006533FF" w:rsidP="00B627AF">
            <w:pPr>
              <w:rPr>
                <w:color w:val="000000"/>
              </w:rPr>
            </w:pPr>
            <w:r w:rsidRPr="0018142B">
              <w:rPr>
                <w:color w:val="000000"/>
              </w:rPr>
              <w:t>0= Severe</w:t>
            </w:r>
          </w:p>
        </w:tc>
      </w:tr>
      <w:tr w:rsidR="006533FF" w:rsidTr="00B627AF">
        <w:tc>
          <w:tcPr>
            <w:tcW w:w="4531" w:type="dxa"/>
            <w:shd w:val="clear" w:color="auto" w:fill="auto"/>
          </w:tcPr>
          <w:p w:rsidR="006533FF" w:rsidRPr="0018142B" w:rsidRDefault="006533FF" w:rsidP="00B627AF">
            <w:pPr>
              <w:rPr>
                <w:b/>
                <w:color w:val="000000"/>
              </w:rPr>
            </w:pPr>
            <w:r w:rsidRPr="0018142B">
              <w:rPr>
                <w:b/>
                <w:color w:val="000000"/>
              </w:rPr>
              <w:t>Intake and output</w:t>
            </w:r>
          </w:p>
        </w:tc>
        <w:tc>
          <w:tcPr>
            <w:tcW w:w="4531" w:type="dxa"/>
            <w:shd w:val="clear" w:color="auto" w:fill="auto"/>
          </w:tcPr>
          <w:p w:rsidR="006533FF" w:rsidRPr="0018142B" w:rsidRDefault="006533FF" w:rsidP="00B627AF">
            <w:pPr>
              <w:rPr>
                <w:color w:val="000000"/>
              </w:rPr>
            </w:pPr>
            <w:r w:rsidRPr="0018142B">
              <w:rPr>
                <w:color w:val="000000"/>
              </w:rPr>
              <w:t xml:space="preserve">2= has had PO fluids AND voided </w:t>
            </w:r>
          </w:p>
          <w:p w:rsidR="006533FF" w:rsidRPr="0018142B" w:rsidRDefault="006533FF" w:rsidP="00B627AF">
            <w:pPr>
              <w:rPr>
                <w:color w:val="000000"/>
              </w:rPr>
            </w:pPr>
            <w:r w:rsidRPr="0018142B">
              <w:rPr>
                <w:color w:val="000000"/>
              </w:rPr>
              <w:t xml:space="preserve">1= has had PO fluids OR voided </w:t>
            </w:r>
          </w:p>
          <w:p w:rsidR="006533FF" w:rsidRPr="0018142B" w:rsidRDefault="006533FF" w:rsidP="00B627AF">
            <w:pPr>
              <w:rPr>
                <w:color w:val="000000"/>
              </w:rPr>
            </w:pPr>
            <w:r w:rsidRPr="0018142B">
              <w:rPr>
                <w:color w:val="000000"/>
              </w:rPr>
              <w:t>0= Neither</w:t>
            </w:r>
          </w:p>
        </w:tc>
      </w:tr>
    </w:tbl>
    <w:p w:rsidR="006533FF" w:rsidRPr="00314FBA" w:rsidRDefault="006533FF" w:rsidP="006533FF">
      <w:pPr>
        <w:rPr>
          <w:color w:val="000000"/>
        </w:rPr>
      </w:pPr>
      <w:r w:rsidRPr="00314FBA">
        <w:rPr>
          <w:color w:val="000000"/>
        </w:rPr>
        <w:t xml:space="preserve">*Total PADS score is 10; Score ≥9 considered fit for discharge </w:t>
      </w:r>
    </w:p>
    <w:p w:rsidR="006533FF" w:rsidRPr="00314FBA" w:rsidRDefault="006533FF" w:rsidP="006533FF">
      <w:pPr>
        <w:rPr>
          <w:color w:val="000000"/>
        </w:rPr>
      </w:pPr>
      <w:r w:rsidRPr="00314FBA">
        <w:rPr>
          <w:color w:val="000000"/>
        </w:rPr>
        <w:t>**PO = oral administration</w:t>
      </w:r>
    </w:p>
    <w:p w:rsidR="006533FF" w:rsidRDefault="006533FF" w:rsidP="006533FF">
      <w:pPr>
        <w:ind w:right="-360"/>
        <w:jc w:val="both"/>
        <w:rPr>
          <w:b/>
        </w:rPr>
      </w:pPr>
    </w:p>
    <w:p w:rsidR="006533FF" w:rsidRDefault="006533FF" w:rsidP="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Pr="00314FBA" w:rsidRDefault="006533FF" w:rsidP="006533FF">
      <w:pPr>
        <w:ind w:left="-907"/>
        <w:jc w:val="both"/>
      </w:pPr>
      <w:r>
        <w:rPr>
          <w:b/>
        </w:rPr>
        <w:lastRenderedPageBreak/>
        <w:t>Table 5</w:t>
      </w:r>
      <w:r w:rsidRPr="00112B41">
        <w:rPr>
          <w:b/>
        </w:rPr>
        <w:t xml:space="preserve">. </w:t>
      </w:r>
      <w:r w:rsidRPr="00314FBA">
        <w:t xml:space="preserve">Demographic variables (n) and scores of Frankl Behavior Scale (FBS) according to groups </w:t>
      </w:r>
    </w:p>
    <w:tbl>
      <w:tblPr>
        <w:tblpPr w:leftFromText="141" w:rightFromText="141" w:vertAnchor="text" w:horzAnchor="margin" w:tblpXSpec="center" w:tblpY="329"/>
        <w:tblW w:w="10141" w:type="dxa"/>
        <w:tblLayout w:type="fixed"/>
        <w:tblLook w:val="0400" w:firstRow="0" w:lastRow="0" w:firstColumn="0" w:lastColumn="0" w:noHBand="0" w:noVBand="1"/>
      </w:tblPr>
      <w:tblGrid>
        <w:gridCol w:w="2183"/>
        <w:gridCol w:w="1925"/>
        <w:gridCol w:w="2054"/>
        <w:gridCol w:w="2054"/>
        <w:gridCol w:w="1925"/>
      </w:tblGrid>
      <w:tr w:rsidR="006533FF" w:rsidRPr="00C37CFB" w:rsidTr="00B627AF">
        <w:trPr>
          <w:trHeight w:val="320"/>
        </w:trPr>
        <w:tc>
          <w:tcPr>
            <w:tcW w:w="2183" w:type="dxa"/>
            <w:shd w:val="clear" w:color="auto" w:fill="EDEDED"/>
          </w:tcPr>
          <w:p w:rsidR="006533FF" w:rsidRPr="0018142B" w:rsidRDefault="006533FF" w:rsidP="00B627AF">
            <w:pPr>
              <w:ind w:left="284" w:hanging="284"/>
              <w:jc w:val="both"/>
              <w:rPr>
                <w:sz w:val="20"/>
                <w:szCs w:val="20"/>
              </w:rPr>
            </w:pPr>
          </w:p>
        </w:tc>
        <w:tc>
          <w:tcPr>
            <w:tcW w:w="1925" w:type="dxa"/>
            <w:shd w:val="clear" w:color="auto" w:fill="EDEDED"/>
          </w:tcPr>
          <w:p w:rsidR="006533FF" w:rsidRPr="0018142B" w:rsidRDefault="006533FF" w:rsidP="00B627AF">
            <w:pPr>
              <w:jc w:val="both"/>
              <w:rPr>
                <w:b/>
              </w:rPr>
            </w:pPr>
            <w:r w:rsidRPr="0018142B">
              <w:rPr>
                <w:rFonts w:eastAsia="Calibri"/>
                <w:b/>
                <w:bCs/>
              </w:rPr>
              <w:t>Group I</w:t>
            </w:r>
          </w:p>
        </w:tc>
        <w:tc>
          <w:tcPr>
            <w:tcW w:w="2054" w:type="dxa"/>
            <w:shd w:val="clear" w:color="auto" w:fill="EDEDED"/>
          </w:tcPr>
          <w:p w:rsidR="006533FF" w:rsidRPr="0018142B" w:rsidRDefault="006533FF" w:rsidP="00B627AF">
            <w:pPr>
              <w:jc w:val="both"/>
              <w:rPr>
                <w:b/>
              </w:rPr>
            </w:pPr>
            <w:r w:rsidRPr="0018142B">
              <w:rPr>
                <w:rFonts w:eastAsia="Calibri"/>
                <w:b/>
                <w:bCs/>
              </w:rPr>
              <w:t>Group II</w:t>
            </w:r>
          </w:p>
        </w:tc>
        <w:tc>
          <w:tcPr>
            <w:tcW w:w="2054" w:type="dxa"/>
            <w:shd w:val="clear" w:color="auto" w:fill="EDEDED"/>
          </w:tcPr>
          <w:p w:rsidR="006533FF" w:rsidRPr="0018142B" w:rsidRDefault="006533FF" w:rsidP="00B627AF">
            <w:pPr>
              <w:jc w:val="both"/>
              <w:rPr>
                <w:b/>
              </w:rPr>
            </w:pPr>
            <w:r w:rsidRPr="0018142B">
              <w:rPr>
                <w:rFonts w:eastAsia="Calibri"/>
                <w:b/>
                <w:bCs/>
              </w:rPr>
              <w:t>Group III</w:t>
            </w:r>
          </w:p>
        </w:tc>
        <w:tc>
          <w:tcPr>
            <w:tcW w:w="1925" w:type="dxa"/>
            <w:shd w:val="clear" w:color="auto" w:fill="EDEDED"/>
          </w:tcPr>
          <w:p w:rsidR="006533FF" w:rsidRPr="0018142B" w:rsidRDefault="006533FF" w:rsidP="00B627AF">
            <w:pPr>
              <w:jc w:val="both"/>
              <w:rPr>
                <w:b/>
              </w:rPr>
            </w:pPr>
            <w:r w:rsidRPr="0018142B">
              <w:rPr>
                <w:rFonts w:eastAsia="Calibri"/>
                <w:b/>
                <w:bCs/>
              </w:rPr>
              <w:t>Group IV</w:t>
            </w:r>
          </w:p>
        </w:tc>
      </w:tr>
      <w:tr w:rsidR="006533FF" w:rsidRPr="00C37CFB" w:rsidTr="00B627AF">
        <w:trPr>
          <w:trHeight w:val="480"/>
        </w:trPr>
        <w:tc>
          <w:tcPr>
            <w:tcW w:w="2183" w:type="dxa"/>
            <w:shd w:val="clear" w:color="auto" w:fill="auto"/>
          </w:tcPr>
          <w:p w:rsidR="006533FF" w:rsidRPr="0018142B" w:rsidRDefault="006533FF" w:rsidP="00B627AF">
            <w:pPr>
              <w:jc w:val="both"/>
              <w:rPr>
                <w:rFonts w:eastAsia="Calibri"/>
                <w:b/>
                <w:bCs/>
                <w:sz w:val="20"/>
                <w:szCs w:val="20"/>
              </w:rPr>
            </w:pPr>
          </w:p>
          <w:p w:rsidR="006533FF" w:rsidRPr="0018142B" w:rsidRDefault="006533FF" w:rsidP="00B627AF">
            <w:pPr>
              <w:jc w:val="both"/>
              <w:rPr>
                <w:rFonts w:eastAsia="Calibri"/>
                <w:b/>
                <w:bCs/>
                <w:sz w:val="20"/>
                <w:szCs w:val="20"/>
              </w:rPr>
            </w:pPr>
            <w:r w:rsidRPr="0018142B">
              <w:rPr>
                <w:rFonts w:eastAsia="Calibri"/>
                <w:b/>
                <w:bCs/>
                <w:sz w:val="20"/>
                <w:szCs w:val="20"/>
              </w:rPr>
              <w:t xml:space="preserve">Gender </w:t>
            </w:r>
          </w:p>
          <w:p w:rsidR="006533FF" w:rsidRPr="0018142B" w:rsidRDefault="006533FF" w:rsidP="00B627AF">
            <w:pPr>
              <w:jc w:val="both"/>
              <w:rPr>
                <w:b/>
                <w:sz w:val="20"/>
                <w:szCs w:val="20"/>
              </w:rPr>
            </w:pPr>
            <w:r w:rsidRPr="0018142B">
              <w:rPr>
                <w:rFonts w:eastAsia="Calibri"/>
                <w:b/>
                <w:bCs/>
                <w:sz w:val="20"/>
                <w:szCs w:val="20"/>
              </w:rPr>
              <w:t>(male/female) (%)</w:t>
            </w:r>
          </w:p>
        </w:tc>
        <w:tc>
          <w:tcPr>
            <w:tcW w:w="1925"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10 (66.7) / 5(33.3)</w:t>
            </w:r>
          </w:p>
          <w:p w:rsidR="006533FF" w:rsidRPr="0018142B" w:rsidRDefault="006533FF" w:rsidP="00B627AF">
            <w:pPr>
              <w:jc w:val="both"/>
              <w:rPr>
                <w:sz w:val="20"/>
                <w:szCs w:val="20"/>
              </w:rPr>
            </w:pPr>
          </w:p>
        </w:tc>
        <w:tc>
          <w:tcPr>
            <w:tcW w:w="2054"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11 (73.3) /4 (26.7)</w:t>
            </w:r>
          </w:p>
          <w:p w:rsidR="006533FF" w:rsidRPr="0018142B" w:rsidRDefault="006533FF" w:rsidP="00B627AF">
            <w:pPr>
              <w:jc w:val="both"/>
              <w:rPr>
                <w:sz w:val="20"/>
                <w:szCs w:val="20"/>
              </w:rPr>
            </w:pPr>
          </w:p>
        </w:tc>
        <w:tc>
          <w:tcPr>
            <w:tcW w:w="2054"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9 (60.0)/ 6 (40.0)</w:t>
            </w:r>
          </w:p>
          <w:p w:rsidR="006533FF" w:rsidRPr="0018142B" w:rsidRDefault="006533FF" w:rsidP="00B627AF">
            <w:pPr>
              <w:jc w:val="both"/>
              <w:rPr>
                <w:sz w:val="20"/>
                <w:szCs w:val="20"/>
              </w:rPr>
            </w:pPr>
          </w:p>
        </w:tc>
        <w:tc>
          <w:tcPr>
            <w:tcW w:w="1925"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6 (40.0) /9 (60.0)</w:t>
            </w:r>
          </w:p>
        </w:tc>
      </w:tr>
      <w:tr w:rsidR="006533FF" w:rsidRPr="00C37CFB" w:rsidTr="00B627AF">
        <w:trPr>
          <w:trHeight w:val="721"/>
        </w:trPr>
        <w:tc>
          <w:tcPr>
            <w:tcW w:w="2183" w:type="dxa"/>
            <w:shd w:val="clear" w:color="auto" w:fill="EDEDED"/>
          </w:tcPr>
          <w:p w:rsidR="006533FF" w:rsidRPr="0018142B" w:rsidRDefault="006533FF" w:rsidP="00B627AF">
            <w:pPr>
              <w:jc w:val="both"/>
              <w:rPr>
                <w:rFonts w:eastAsia="Calibri"/>
                <w:b/>
                <w:bCs/>
                <w:sz w:val="20"/>
                <w:szCs w:val="20"/>
              </w:rPr>
            </w:pPr>
          </w:p>
          <w:p w:rsidR="006533FF" w:rsidRPr="0018142B" w:rsidRDefault="006533FF" w:rsidP="00B627AF">
            <w:pPr>
              <w:jc w:val="both"/>
              <w:rPr>
                <w:b/>
                <w:sz w:val="20"/>
                <w:szCs w:val="20"/>
              </w:rPr>
            </w:pPr>
            <w:r w:rsidRPr="0018142B">
              <w:rPr>
                <w:rFonts w:eastAsia="Calibri"/>
                <w:b/>
                <w:bCs/>
                <w:sz w:val="20"/>
                <w:szCs w:val="20"/>
              </w:rPr>
              <w:t>Age (year)</w:t>
            </w:r>
          </w:p>
          <w:p w:rsidR="006533FF" w:rsidRPr="0018142B" w:rsidRDefault="006533FF" w:rsidP="00B627AF">
            <w:pPr>
              <w:jc w:val="both"/>
              <w:rPr>
                <w:b/>
                <w:sz w:val="20"/>
                <w:szCs w:val="20"/>
              </w:rPr>
            </w:pPr>
            <w:r w:rsidRPr="0018142B">
              <w:rPr>
                <w:rFonts w:eastAsia="Calibri"/>
                <w:b/>
                <w:bCs/>
                <w:sz w:val="20"/>
                <w:szCs w:val="20"/>
              </w:rPr>
              <w:t>(</w:t>
            </w:r>
            <w:proofErr w:type="spellStart"/>
            <w:r w:rsidRPr="0018142B">
              <w:rPr>
                <w:rFonts w:eastAsia="Calibri"/>
                <w:b/>
                <w:bCs/>
                <w:sz w:val="20"/>
                <w:szCs w:val="20"/>
              </w:rPr>
              <w:t>mean±SD</w:t>
            </w:r>
            <w:proofErr w:type="spellEnd"/>
            <w:r w:rsidRPr="0018142B">
              <w:rPr>
                <w:rFonts w:eastAsia="Calibri"/>
                <w:b/>
                <w:bCs/>
                <w:sz w:val="20"/>
                <w:szCs w:val="20"/>
              </w:rPr>
              <w:t>, min/max)</w:t>
            </w:r>
          </w:p>
        </w:tc>
        <w:tc>
          <w:tcPr>
            <w:tcW w:w="1925"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5.33±0.617</w:t>
            </w:r>
            <w:r w:rsidRPr="0018142B">
              <w:rPr>
                <w:sz w:val="20"/>
                <w:szCs w:val="20"/>
              </w:rPr>
              <w:t xml:space="preserve">, </w:t>
            </w:r>
            <w:r w:rsidRPr="0018142B">
              <w:rPr>
                <w:rFonts w:eastAsia="Calibri"/>
                <w:bCs/>
                <w:sz w:val="20"/>
                <w:szCs w:val="20"/>
              </w:rPr>
              <w:t>5/7</w:t>
            </w:r>
          </w:p>
        </w:tc>
        <w:tc>
          <w:tcPr>
            <w:tcW w:w="2054"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5.27± 0.799</w:t>
            </w:r>
            <w:r w:rsidRPr="0018142B">
              <w:rPr>
                <w:sz w:val="20"/>
                <w:szCs w:val="20"/>
              </w:rPr>
              <w:t xml:space="preserve">, </w:t>
            </w:r>
            <w:r w:rsidRPr="0018142B">
              <w:rPr>
                <w:rFonts w:eastAsia="Calibri"/>
                <w:bCs/>
                <w:sz w:val="20"/>
                <w:szCs w:val="20"/>
              </w:rPr>
              <w:t>5/8</w:t>
            </w:r>
          </w:p>
        </w:tc>
        <w:tc>
          <w:tcPr>
            <w:tcW w:w="2054"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5.20± 0.414</w:t>
            </w:r>
            <w:r w:rsidRPr="0018142B">
              <w:rPr>
                <w:sz w:val="20"/>
                <w:szCs w:val="20"/>
              </w:rPr>
              <w:t xml:space="preserve">, </w:t>
            </w:r>
            <w:r w:rsidRPr="0018142B">
              <w:rPr>
                <w:rFonts w:eastAsia="Calibri"/>
                <w:bCs/>
                <w:sz w:val="20"/>
                <w:szCs w:val="20"/>
              </w:rPr>
              <w:t>5/6</w:t>
            </w:r>
          </w:p>
        </w:tc>
        <w:tc>
          <w:tcPr>
            <w:tcW w:w="1925"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5.53 ± 0.989</w:t>
            </w:r>
            <w:r w:rsidRPr="0018142B">
              <w:rPr>
                <w:sz w:val="20"/>
                <w:szCs w:val="20"/>
              </w:rPr>
              <w:t xml:space="preserve">, </w:t>
            </w:r>
            <w:r w:rsidRPr="0018142B">
              <w:rPr>
                <w:rFonts w:eastAsia="Calibri"/>
                <w:bCs/>
                <w:sz w:val="20"/>
                <w:szCs w:val="20"/>
              </w:rPr>
              <w:t>5/8</w:t>
            </w:r>
          </w:p>
        </w:tc>
      </w:tr>
      <w:tr w:rsidR="006533FF" w:rsidRPr="00C37CFB" w:rsidTr="00B627AF">
        <w:trPr>
          <w:trHeight w:val="721"/>
        </w:trPr>
        <w:tc>
          <w:tcPr>
            <w:tcW w:w="2183" w:type="dxa"/>
            <w:shd w:val="clear" w:color="auto" w:fill="auto"/>
          </w:tcPr>
          <w:p w:rsidR="006533FF" w:rsidRPr="0018142B" w:rsidRDefault="006533FF" w:rsidP="00B627AF">
            <w:pPr>
              <w:jc w:val="both"/>
              <w:rPr>
                <w:rFonts w:eastAsia="Calibri"/>
                <w:b/>
                <w:bCs/>
                <w:sz w:val="20"/>
                <w:szCs w:val="20"/>
              </w:rPr>
            </w:pPr>
          </w:p>
          <w:p w:rsidR="006533FF" w:rsidRPr="0018142B" w:rsidRDefault="006533FF" w:rsidP="00B627AF">
            <w:pPr>
              <w:jc w:val="both"/>
              <w:rPr>
                <w:b/>
                <w:sz w:val="20"/>
                <w:szCs w:val="20"/>
              </w:rPr>
            </w:pPr>
            <w:r w:rsidRPr="0018142B">
              <w:rPr>
                <w:rFonts w:eastAsia="Calibri"/>
                <w:b/>
                <w:bCs/>
                <w:sz w:val="20"/>
                <w:szCs w:val="20"/>
              </w:rPr>
              <w:t>Weight (kg)</w:t>
            </w:r>
          </w:p>
          <w:p w:rsidR="006533FF" w:rsidRPr="0018142B" w:rsidRDefault="006533FF" w:rsidP="00B627AF">
            <w:pPr>
              <w:jc w:val="both"/>
              <w:rPr>
                <w:b/>
                <w:sz w:val="20"/>
                <w:szCs w:val="20"/>
              </w:rPr>
            </w:pPr>
            <w:r w:rsidRPr="0018142B">
              <w:rPr>
                <w:rFonts w:eastAsia="Calibri"/>
                <w:b/>
                <w:bCs/>
                <w:sz w:val="20"/>
                <w:szCs w:val="20"/>
              </w:rPr>
              <w:t>(</w:t>
            </w:r>
            <w:proofErr w:type="spellStart"/>
            <w:r w:rsidRPr="0018142B">
              <w:rPr>
                <w:rFonts w:eastAsia="Calibri"/>
                <w:b/>
                <w:bCs/>
                <w:sz w:val="20"/>
                <w:szCs w:val="20"/>
              </w:rPr>
              <w:t>mean±SD</w:t>
            </w:r>
            <w:proofErr w:type="spellEnd"/>
            <w:r w:rsidRPr="0018142B">
              <w:rPr>
                <w:rFonts w:eastAsia="Calibri"/>
                <w:b/>
                <w:bCs/>
                <w:sz w:val="20"/>
                <w:szCs w:val="20"/>
              </w:rPr>
              <w:t>, min/max)</w:t>
            </w:r>
          </w:p>
        </w:tc>
        <w:tc>
          <w:tcPr>
            <w:tcW w:w="1925"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18.93±2.314</w:t>
            </w:r>
            <w:r w:rsidRPr="0018142B">
              <w:rPr>
                <w:sz w:val="20"/>
                <w:szCs w:val="20"/>
              </w:rPr>
              <w:t>,</w:t>
            </w:r>
            <w:r w:rsidRPr="0018142B">
              <w:rPr>
                <w:rFonts w:eastAsia="Calibri"/>
                <w:bCs/>
                <w:sz w:val="20"/>
                <w:szCs w:val="20"/>
              </w:rPr>
              <w:t>16/25</w:t>
            </w:r>
          </w:p>
        </w:tc>
        <w:tc>
          <w:tcPr>
            <w:tcW w:w="2054"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19.07± 3.615</w:t>
            </w:r>
            <w:r w:rsidRPr="0018142B">
              <w:rPr>
                <w:sz w:val="20"/>
                <w:szCs w:val="20"/>
              </w:rPr>
              <w:t xml:space="preserve">, </w:t>
            </w:r>
            <w:r w:rsidRPr="0018142B">
              <w:rPr>
                <w:rFonts w:eastAsia="Calibri"/>
                <w:bCs/>
                <w:sz w:val="20"/>
                <w:szCs w:val="20"/>
              </w:rPr>
              <w:t>13/26</w:t>
            </w:r>
          </w:p>
        </w:tc>
        <w:tc>
          <w:tcPr>
            <w:tcW w:w="2054"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18.20± 2.336</w:t>
            </w:r>
            <w:r w:rsidRPr="0018142B">
              <w:rPr>
                <w:sz w:val="20"/>
                <w:szCs w:val="20"/>
              </w:rPr>
              <w:t xml:space="preserve">, </w:t>
            </w:r>
            <w:r w:rsidRPr="0018142B">
              <w:rPr>
                <w:rFonts w:eastAsia="Calibri"/>
                <w:bCs/>
                <w:sz w:val="20"/>
                <w:szCs w:val="20"/>
              </w:rPr>
              <w:t>15/22</w:t>
            </w:r>
          </w:p>
        </w:tc>
        <w:tc>
          <w:tcPr>
            <w:tcW w:w="1925" w:type="dxa"/>
            <w:shd w:val="clear" w:color="auto" w:fill="auto"/>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20.01±3.989</w:t>
            </w:r>
            <w:r w:rsidRPr="0018142B">
              <w:rPr>
                <w:sz w:val="20"/>
                <w:szCs w:val="20"/>
              </w:rPr>
              <w:t xml:space="preserve">, </w:t>
            </w:r>
            <w:r w:rsidRPr="0018142B">
              <w:rPr>
                <w:rFonts w:eastAsia="Calibri"/>
                <w:bCs/>
                <w:sz w:val="20"/>
                <w:szCs w:val="20"/>
              </w:rPr>
              <w:t>17/26</w:t>
            </w:r>
          </w:p>
        </w:tc>
      </w:tr>
      <w:tr w:rsidR="006533FF" w:rsidRPr="00C37CFB" w:rsidTr="00B627AF">
        <w:trPr>
          <w:trHeight w:val="480"/>
        </w:trPr>
        <w:tc>
          <w:tcPr>
            <w:tcW w:w="2183" w:type="dxa"/>
            <w:shd w:val="clear" w:color="auto" w:fill="EDEDED"/>
          </w:tcPr>
          <w:p w:rsidR="006533FF" w:rsidRPr="0018142B" w:rsidRDefault="006533FF" w:rsidP="00B627AF">
            <w:pPr>
              <w:jc w:val="both"/>
              <w:rPr>
                <w:rFonts w:eastAsia="Calibri"/>
                <w:b/>
                <w:bCs/>
                <w:sz w:val="20"/>
                <w:szCs w:val="20"/>
              </w:rPr>
            </w:pPr>
          </w:p>
          <w:p w:rsidR="006533FF" w:rsidRPr="0018142B" w:rsidRDefault="006533FF" w:rsidP="00B627AF">
            <w:pPr>
              <w:jc w:val="both"/>
              <w:rPr>
                <w:b/>
                <w:sz w:val="20"/>
                <w:szCs w:val="20"/>
              </w:rPr>
            </w:pPr>
            <w:r w:rsidRPr="0018142B">
              <w:rPr>
                <w:rFonts w:eastAsia="Calibri"/>
                <w:b/>
                <w:bCs/>
                <w:sz w:val="20"/>
                <w:szCs w:val="20"/>
              </w:rPr>
              <w:t>FBS</w:t>
            </w:r>
          </w:p>
          <w:p w:rsidR="006533FF" w:rsidRPr="0018142B" w:rsidRDefault="006533FF" w:rsidP="00B627AF">
            <w:pPr>
              <w:jc w:val="both"/>
              <w:rPr>
                <w:b/>
                <w:sz w:val="20"/>
                <w:szCs w:val="20"/>
              </w:rPr>
            </w:pPr>
            <w:r w:rsidRPr="0018142B">
              <w:rPr>
                <w:rFonts w:eastAsia="Calibri"/>
                <w:b/>
                <w:bCs/>
                <w:sz w:val="20"/>
                <w:szCs w:val="20"/>
              </w:rPr>
              <w:t>(3/4)</w:t>
            </w:r>
          </w:p>
        </w:tc>
        <w:tc>
          <w:tcPr>
            <w:tcW w:w="1925"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4/ 11</w:t>
            </w:r>
          </w:p>
        </w:tc>
        <w:tc>
          <w:tcPr>
            <w:tcW w:w="2054"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4/ 11</w:t>
            </w:r>
          </w:p>
        </w:tc>
        <w:tc>
          <w:tcPr>
            <w:tcW w:w="2054"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3/ 12</w:t>
            </w:r>
          </w:p>
        </w:tc>
        <w:tc>
          <w:tcPr>
            <w:tcW w:w="1925" w:type="dxa"/>
            <w:shd w:val="clear" w:color="auto" w:fill="EDEDED"/>
          </w:tcPr>
          <w:p w:rsidR="006533FF" w:rsidRPr="0018142B" w:rsidRDefault="006533FF" w:rsidP="00B627AF">
            <w:pPr>
              <w:jc w:val="both"/>
              <w:rPr>
                <w:rFonts w:eastAsia="Calibri"/>
                <w:bCs/>
                <w:sz w:val="20"/>
                <w:szCs w:val="20"/>
              </w:rPr>
            </w:pPr>
          </w:p>
          <w:p w:rsidR="006533FF" w:rsidRPr="0018142B" w:rsidRDefault="006533FF" w:rsidP="00B627AF">
            <w:pPr>
              <w:jc w:val="both"/>
              <w:rPr>
                <w:sz w:val="20"/>
                <w:szCs w:val="20"/>
              </w:rPr>
            </w:pPr>
            <w:r w:rsidRPr="0018142B">
              <w:rPr>
                <w:rFonts w:eastAsia="Calibri"/>
                <w:bCs/>
                <w:sz w:val="20"/>
                <w:szCs w:val="20"/>
              </w:rPr>
              <w:t>2/ 13</w:t>
            </w:r>
          </w:p>
        </w:tc>
      </w:tr>
    </w:tbl>
    <w:p w:rsidR="006533FF" w:rsidRPr="00112B41" w:rsidRDefault="006533FF" w:rsidP="006533FF">
      <w:pPr>
        <w:jc w:val="both"/>
        <w:rPr>
          <w:b/>
        </w:rPr>
      </w:pPr>
    </w:p>
    <w:p w:rsidR="006533FF" w:rsidRPr="00112B41" w:rsidRDefault="006533FF" w:rsidP="006533FF">
      <w:pPr>
        <w:jc w:val="both"/>
        <w:rPr>
          <w:b/>
          <w:sz w:val="20"/>
          <w:szCs w:val="20"/>
        </w:rPr>
      </w:pPr>
    </w:p>
    <w:p w:rsidR="006533FF" w:rsidRPr="00112B41" w:rsidRDefault="006533FF" w:rsidP="006533FF">
      <w:pPr>
        <w:jc w:val="both"/>
        <w:rPr>
          <w:b/>
          <w:sz w:val="20"/>
          <w:szCs w:val="20"/>
        </w:rPr>
      </w:pPr>
    </w:p>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Default="006533FF"/>
    <w:p w:rsidR="006533FF" w:rsidRPr="006533FF" w:rsidRDefault="006533FF" w:rsidP="006533FF">
      <w:pPr>
        <w:spacing w:line="360" w:lineRule="auto"/>
        <w:jc w:val="both"/>
        <w:rPr>
          <w:b/>
          <w:szCs w:val="20"/>
        </w:rPr>
      </w:pPr>
      <w:r w:rsidRPr="006533FF">
        <w:rPr>
          <w:b/>
          <w:szCs w:val="20"/>
        </w:rPr>
        <w:lastRenderedPageBreak/>
        <w:t xml:space="preserve">Table 6. </w:t>
      </w:r>
      <w:r w:rsidRPr="006533FF">
        <w:rPr>
          <w:szCs w:val="20"/>
        </w:rPr>
        <w:t>Treatments in groups (n)</w:t>
      </w:r>
    </w:p>
    <w:p w:rsidR="006533FF" w:rsidRPr="006533FF" w:rsidRDefault="006533FF" w:rsidP="006533FF">
      <w:pPr>
        <w:spacing w:line="360" w:lineRule="auto"/>
        <w:ind w:firstLine="708"/>
        <w:jc w:val="both"/>
        <w:rPr>
          <w:b/>
          <w:szCs w:val="20"/>
        </w:rPr>
      </w:pPr>
    </w:p>
    <w:tbl>
      <w:tblPr>
        <w:tblW w:w="7630" w:type="dxa"/>
        <w:tblInd w:w="3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1080"/>
        <w:gridCol w:w="1080"/>
        <w:gridCol w:w="1080"/>
        <w:gridCol w:w="1080"/>
      </w:tblGrid>
      <w:tr w:rsidR="006533FF" w:rsidRPr="006533FF" w:rsidTr="00B627AF">
        <w:trPr>
          <w:trHeight w:val="418"/>
        </w:trPr>
        <w:tc>
          <w:tcPr>
            <w:tcW w:w="3310" w:type="dxa"/>
            <w:tcBorders>
              <w:top w:val="single" w:sz="4" w:space="0" w:color="auto"/>
              <w:left w:val="nil"/>
              <w:bottom w:val="single" w:sz="4" w:space="0" w:color="auto"/>
              <w:right w:val="nil"/>
            </w:tcBorders>
            <w:shd w:val="clear" w:color="auto" w:fill="auto"/>
          </w:tcPr>
          <w:p w:rsidR="006533FF" w:rsidRPr="006533FF" w:rsidRDefault="006533FF" w:rsidP="006533FF">
            <w:pPr>
              <w:jc w:val="both"/>
              <w:rPr>
                <w:b/>
                <w:sz w:val="20"/>
                <w:szCs w:val="20"/>
              </w:rPr>
            </w:pPr>
          </w:p>
          <w:p w:rsidR="006533FF" w:rsidRPr="006533FF" w:rsidRDefault="006533FF" w:rsidP="006533FF">
            <w:pPr>
              <w:jc w:val="both"/>
              <w:rPr>
                <w:b/>
                <w:sz w:val="20"/>
                <w:szCs w:val="20"/>
              </w:rPr>
            </w:pPr>
            <w:r w:rsidRPr="006533FF">
              <w:rPr>
                <w:b/>
                <w:sz w:val="20"/>
                <w:szCs w:val="20"/>
              </w:rPr>
              <w:t>Operation</w:t>
            </w:r>
          </w:p>
        </w:tc>
        <w:tc>
          <w:tcPr>
            <w:tcW w:w="1080" w:type="dxa"/>
            <w:tcBorders>
              <w:top w:val="single" w:sz="4" w:space="0" w:color="auto"/>
              <w:left w:val="nil"/>
              <w:bottom w:val="single" w:sz="4" w:space="0" w:color="auto"/>
              <w:right w:val="nil"/>
            </w:tcBorders>
            <w:shd w:val="clear" w:color="auto" w:fill="auto"/>
          </w:tcPr>
          <w:p w:rsidR="006533FF" w:rsidRPr="006533FF" w:rsidRDefault="006533FF" w:rsidP="006533FF">
            <w:pPr>
              <w:jc w:val="both"/>
              <w:rPr>
                <w:b/>
                <w:sz w:val="20"/>
                <w:szCs w:val="20"/>
              </w:rPr>
            </w:pPr>
          </w:p>
          <w:p w:rsidR="006533FF" w:rsidRPr="006533FF" w:rsidRDefault="006533FF" w:rsidP="006533FF">
            <w:pPr>
              <w:jc w:val="both"/>
              <w:rPr>
                <w:b/>
                <w:sz w:val="20"/>
                <w:szCs w:val="20"/>
              </w:rPr>
            </w:pPr>
            <w:r w:rsidRPr="006533FF">
              <w:rPr>
                <w:b/>
                <w:sz w:val="20"/>
                <w:szCs w:val="20"/>
              </w:rPr>
              <w:t>Group I</w:t>
            </w:r>
          </w:p>
          <w:p w:rsidR="006533FF" w:rsidRPr="006533FF" w:rsidRDefault="006533FF" w:rsidP="006533FF">
            <w:pPr>
              <w:jc w:val="both"/>
              <w:rPr>
                <w:b/>
                <w:sz w:val="20"/>
                <w:szCs w:val="20"/>
              </w:rPr>
            </w:pPr>
            <w:r w:rsidRPr="006533FF">
              <w:rPr>
                <w:b/>
                <w:sz w:val="20"/>
                <w:szCs w:val="20"/>
              </w:rPr>
              <w:t>(n=15)</w:t>
            </w:r>
          </w:p>
        </w:tc>
        <w:tc>
          <w:tcPr>
            <w:tcW w:w="1080" w:type="dxa"/>
            <w:tcBorders>
              <w:top w:val="single" w:sz="4" w:space="0" w:color="auto"/>
              <w:left w:val="nil"/>
              <w:bottom w:val="single" w:sz="4" w:space="0" w:color="auto"/>
              <w:right w:val="nil"/>
            </w:tcBorders>
            <w:shd w:val="clear" w:color="auto" w:fill="auto"/>
          </w:tcPr>
          <w:p w:rsidR="006533FF" w:rsidRPr="006533FF" w:rsidRDefault="006533FF" w:rsidP="006533FF">
            <w:pPr>
              <w:jc w:val="both"/>
              <w:rPr>
                <w:b/>
                <w:sz w:val="20"/>
                <w:szCs w:val="20"/>
              </w:rPr>
            </w:pPr>
          </w:p>
          <w:p w:rsidR="006533FF" w:rsidRPr="006533FF" w:rsidRDefault="006533FF" w:rsidP="006533FF">
            <w:pPr>
              <w:jc w:val="both"/>
              <w:rPr>
                <w:b/>
                <w:sz w:val="20"/>
                <w:szCs w:val="20"/>
              </w:rPr>
            </w:pPr>
            <w:r w:rsidRPr="006533FF">
              <w:rPr>
                <w:b/>
                <w:sz w:val="20"/>
                <w:szCs w:val="20"/>
              </w:rPr>
              <w:t>Group II</w:t>
            </w:r>
          </w:p>
          <w:p w:rsidR="006533FF" w:rsidRPr="006533FF" w:rsidRDefault="006533FF" w:rsidP="006533FF">
            <w:pPr>
              <w:jc w:val="both"/>
              <w:rPr>
                <w:b/>
                <w:sz w:val="20"/>
                <w:szCs w:val="20"/>
              </w:rPr>
            </w:pPr>
            <w:r w:rsidRPr="006533FF">
              <w:rPr>
                <w:b/>
                <w:sz w:val="20"/>
                <w:szCs w:val="20"/>
              </w:rPr>
              <w:t>(n=15)</w:t>
            </w:r>
          </w:p>
        </w:tc>
        <w:tc>
          <w:tcPr>
            <w:tcW w:w="1080" w:type="dxa"/>
            <w:tcBorders>
              <w:top w:val="single" w:sz="4" w:space="0" w:color="auto"/>
              <w:left w:val="nil"/>
              <w:bottom w:val="single" w:sz="4" w:space="0" w:color="auto"/>
              <w:right w:val="nil"/>
            </w:tcBorders>
            <w:shd w:val="clear" w:color="auto" w:fill="auto"/>
          </w:tcPr>
          <w:p w:rsidR="006533FF" w:rsidRPr="006533FF" w:rsidRDefault="006533FF" w:rsidP="006533FF">
            <w:pPr>
              <w:jc w:val="both"/>
              <w:rPr>
                <w:b/>
                <w:sz w:val="20"/>
                <w:szCs w:val="20"/>
              </w:rPr>
            </w:pPr>
          </w:p>
          <w:p w:rsidR="006533FF" w:rsidRPr="006533FF" w:rsidRDefault="006533FF" w:rsidP="006533FF">
            <w:pPr>
              <w:jc w:val="both"/>
              <w:rPr>
                <w:b/>
                <w:sz w:val="20"/>
                <w:szCs w:val="20"/>
              </w:rPr>
            </w:pPr>
            <w:r w:rsidRPr="006533FF">
              <w:rPr>
                <w:b/>
                <w:sz w:val="20"/>
                <w:szCs w:val="20"/>
              </w:rPr>
              <w:t>Group III</w:t>
            </w:r>
          </w:p>
          <w:p w:rsidR="006533FF" w:rsidRPr="006533FF" w:rsidRDefault="006533FF" w:rsidP="006533FF">
            <w:pPr>
              <w:rPr>
                <w:sz w:val="20"/>
                <w:szCs w:val="20"/>
              </w:rPr>
            </w:pPr>
            <w:r w:rsidRPr="006533FF">
              <w:rPr>
                <w:b/>
                <w:sz w:val="20"/>
                <w:szCs w:val="20"/>
              </w:rPr>
              <w:t>(n=15)</w:t>
            </w:r>
          </w:p>
        </w:tc>
        <w:tc>
          <w:tcPr>
            <w:tcW w:w="1080" w:type="dxa"/>
            <w:tcBorders>
              <w:top w:val="single" w:sz="4" w:space="0" w:color="auto"/>
              <w:left w:val="nil"/>
              <w:bottom w:val="single" w:sz="4" w:space="0" w:color="auto"/>
              <w:right w:val="nil"/>
            </w:tcBorders>
            <w:shd w:val="clear" w:color="auto" w:fill="auto"/>
          </w:tcPr>
          <w:p w:rsidR="006533FF" w:rsidRPr="006533FF" w:rsidRDefault="006533FF" w:rsidP="006533FF">
            <w:pPr>
              <w:jc w:val="both"/>
              <w:rPr>
                <w:b/>
                <w:sz w:val="20"/>
                <w:szCs w:val="20"/>
              </w:rPr>
            </w:pPr>
          </w:p>
          <w:p w:rsidR="006533FF" w:rsidRPr="006533FF" w:rsidRDefault="006533FF" w:rsidP="006533FF">
            <w:pPr>
              <w:jc w:val="both"/>
              <w:rPr>
                <w:b/>
                <w:sz w:val="20"/>
                <w:szCs w:val="20"/>
              </w:rPr>
            </w:pPr>
            <w:r w:rsidRPr="006533FF">
              <w:rPr>
                <w:b/>
                <w:sz w:val="20"/>
                <w:szCs w:val="20"/>
              </w:rPr>
              <w:t>Group IV</w:t>
            </w:r>
          </w:p>
          <w:p w:rsidR="006533FF" w:rsidRPr="006533FF" w:rsidRDefault="006533FF" w:rsidP="006533FF">
            <w:pPr>
              <w:jc w:val="both"/>
              <w:rPr>
                <w:b/>
                <w:sz w:val="20"/>
                <w:szCs w:val="20"/>
              </w:rPr>
            </w:pPr>
            <w:r w:rsidRPr="006533FF">
              <w:rPr>
                <w:b/>
                <w:sz w:val="20"/>
                <w:szCs w:val="20"/>
              </w:rPr>
              <w:t>(n=15)</w:t>
            </w:r>
          </w:p>
        </w:tc>
      </w:tr>
      <w:tr w:rsidR="006533FF" w:rsidRPr="006533FF" w:rsidTr="00B627AF">
        <w:trPr>
          <w:trHeight w:val="409"/>
        </w:trPr>
        <w:tc>
          <w:tcPr>
            <w:tcW w:w="3310" w:type="dxa"/>
            <w:tcBorders>
              <w:top w:val="single" w:sz="4" w:space="0" w:color="auto"/>
              <w:left w:val="nil"/>
              <w:bottom w:val="nil"/>
              <w:right w:val="nil"/>
            </w:tcBorders>
            <w:shd w:val="clear" w:color="auto" w:fill="auto"/>
          </w:tcPr>
          <w:p w:rsidR="006533FF" w:rsidRPr="006533FF" w:rsidRDefault="006533FF" w:rsidP="006533FF">
            <w:pPr>
              <w:spacing w:line="480" w:lineRule="auto"/>
              <w:jc w:val="both"/>
              <w:rPr>
                <w:b/>
                <w:sz w:val="20"/>
                <w:szCs w:val="20"/>
              </w:rPr>
            </w:pPr>
            <w:r w:rsidRPr="006533FF">
              <w:rPr>
                <w:b/>
                <w:color w:val="000000"/>
                <w:sz w:val="20"/>
                <w:szCs w:val="20"/>
              </w:rPr>
              <w:t>Resin Modified Glass-Ionomer</w:t>
            </w:r>
          </w:p>
        </w:tc>
        <w:tc>
          <w:tcPr>
            <w:tcW w:w="1080" w:type="dxa"/>
            <w:tcBorders>
              <w:top w:val="single" w:sz="4" w:space="0" w:color="auto"/>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3</w:t>
            </w:r>
          </w:p>
        </w:tc>
        <w:tc>
          <w:tcPr>
            <w:tcW w:w="1080" w:type="dxa"/>
            <w:tcBorders>
              <w:top w:val="single" w:sz="4" w:space="0" w:color="auto"/>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3</w:t>
            </w:r>
          </w:p>
        </w:tc>
        <w:tc>
          <w:tcPr>
            <w:tcW w:w="1080" w:type="dxa"/>
            <w:tcBorders>
              <w:top w:val="single" w:sz="4" w:space="0" w:color="auto"/>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5</w:t>
            </w:r>
          </w:p>
        </w:tc>
        <w:tc>
          <w:tcPr>
            <w:tcW w:w="1080" w:type="dxa"/>
            <w:tcBorders>
              <w:top w:val="single" w:sz="4" w:space="0" w:color="auto"/>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2</w:t>
            </w:r>
          </w:p>
        </w:tc>
      </w:tr>
      <w:tr w:rsidR="006533FF" w:rsidRPr="006533FF" w:rsidTr="00B627AF">
        <w:trPr>
          <w:trHeight w:val="368"/>
        </w:trPr>
        <w:tc>
          <w:tcPr>
            <w:tcW w:w="3310" w:type="dxa"/>
            <w:tcBorders>
              <w:top w:val="nil"/>
              <w:left w:val="nil"/>
              <w:bottom w:val="nil"/>
              <w:right w:val="nil"/>
            </w:tcBorders>
            <w:shd w:val="clear" w:color="auto" w:fill="auto"/>
          </w:tcPr>
          <w:p w:rsidR="006533FF" w:rsidRPr="006533FF" w:rsidRDefault="006533FF" w:rsidP="006533FF">
            <w:pPr>
              <w:spacing w:line="480" w:lineRule="auto"/>
              <w:jc w:val="both"/>
              <w:rPr>
                <w:b/>
                <w:sz w:val="20"/>
                <w:szCs w:val="20"/>
              </w:rPr>
            </w:pPr>
            <w:proofErr w:type="spellStart"/>
            <w:r w:rsidRPr="006533FF">
              <w:rPr>
                <w:b/>
                <w:sz w:val="20"/>
                <w:szCs w:val="20"/>
              </w:rPr>
              <w:t>Polyacid</w:t>
            </w:r>
            <w:proofErr w:type="spellEnd"/>
            <w:r w:rsidRPr="006533FF">
              <w:rPr>
                <w:b/>
                <w:sz w:val="20"/>
                <w:szCs w:val="20"/>
              </w:rPr>
              <w:t xml:space="preserve">-Modified Composite Resin </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11</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9</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10</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9</w:t>
            </w:r>
          </w:p>
        </w:tc>
      </w:tr>
      <w:tr w:rsidR="006533FF" w:rsidRPr="006533FF" w:rsidTr="00B627AF">
        <w:trPr>
          <w:trHeight w:val="409"/>
        </w:trPr>
        <w:tc>
          <w:tcPr>
            <w:tcW w:w="3310" w:type="dxa"/>
            <w:tcBorders>
              <w:top w:val="nil"/>
              <w:left w:val="nil"/>
              <w:bottom w:val="nil"/>
              <w:right w:val="nil"/>
            </w:tcBorders>
            <w:shd w:val="clear" w:color="auto" w:fill="auto"/>
          </w:tcPr>
          <w:p w:rsidR="006533FF" w:rsidRPr="006533FF" w:rsidRDefault="006533FF" w:rsidP="006533FF">
            <w:pPr>
              <w:spacing w:line="480" w:lineRule="auto"/>
              <w:jc w:val="both"/>
              <w:rPr>
                <w:b/>
                <w:sz w:val="20"/>
                <w:szCs w:val="20"/>
              </w:rPr>
            </w:pPr>
            <w:r w:rsidRPr="006533FF">
              <w:rPr>
                <w:b/>
                <w:sz w:val="20"/>
                <w:szCs w:val="20"/>
              </w:rPr>
              <w:t xml:space="preserve">Amalgam </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10</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5</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4</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2</w:t>
            </w:r>
          </w:p>
        </w:tc>
      </w:tr>
      <w:bookmarkStart w:id="1" w:name="EntrezSystem2.PEntrez.Pubmed.MessageBar."/>
      <w:tr w:rsidR="006533FF" w:rsidRPr="006533FF" w:rsidTr="00B627AF">
        <w:trPr>
          <w:trHeight w:val="424"/>
        </w:trPr>
        <w:tc>
          <w:tcPr>
            <w:tcW w:w="3310" w:type="dxa"/>
            <w:tcBorders>
              <w:top w:val="nil"/>
              <w:left w:val="nil"/>
              <w:bottom w:val="nil"/>
              <w:right w:val="nil"/>
            </w:tcBorders>
            <w:shd w:val="clear" w:color="auto" w:fill="auto"/>
          </w:tcPr>
          <w:p w:rsidR="006533FF" w:rsidRPr="006533FF" w:rsidRDefault="006533FF" w:rsidP="006533FF">
            <w:pPr>
              <w:spacing w:line="480" w:lineRule="auto"/>
              <w:jc w:val="both"/>
              <w:rPr>
                <w:b/>
                <w:sz w:val="20"/>
                <w:szCs w:val="20"/>
              </w:rPr>
            </w:pPr>
            <w:r w:rsidRPr="006533FF">
              <w:rPr>
                <w:b/>
                <w:iCs/>
                <w:color w:val="000000"/>
                <w:sz w:val="20"/>
                <w:szCs w:val="20"/>
              </w:rPr>
              <w:fldChar w:fldCharType="begin"/>
            </w:r>
            <w:r w:rsidRPr="006533FF">
              <w:rPr>
                <w:b/>
                <w:iCs/>
                <w:color w:val="000000"/>
                <w:sz w:val="20"/>
                <w:szCs w:val="20"/>
              </w:rPr>
              <w:instrText xml:space="preserve"> HYPERLINK "http://www.ncbi.nlm.nih.gov/sites/?term=formocresol%20amputation&amp;" </w:instrText>
            </w:r>
            <w:r w:rsidRPr="006533FF">
              <w:rPr>
                <w:b/>
                <w:iCs/>
                <w:color w:val="000000"/>
                <w:sz w:val="20"/>
                <w:szCs w:val="20"/>
              </w:rPr>
              <w:fldChar w:fldCharType="separate"/>
            </w:r>
            <w:proofErr w:type="spellStart"/>
            <w:r w:rsidRPr="006533FF">
              <w:rPr>
                <w:b/>
                <w:bCs/>
                <w:iCs/>
                <w:color w:val="000000"/>
                <w:sz w:val="20"/>
                <w:szCs w:val="20"/>
              </w:rPr>
              <w:t>Formocresol</w:t>
            </w:r>
            <w:proofErr w:type="spellEnd"/>
            <w:r w:rsidRPr="006533FF">
              <w:rPr>
                <w:b/>
                <w:iCs/>
                <w:color w:val="000000"/>
                <w:sz w:val="20"/>
                <w:szCs w:val="20"/>
              </w:rPr>
              <w:t xml:space="preserve"> Amputation</w:t>
            </w:r>
            <w:r w:rsidRPr="006533FF">
              <w:rPr>
                <w:b/>
                <w:iCs/>
                <w:color w:val="000000"/>
                <w:sz w:val="20"/>
                <w:szCs w:val="20"/>
              </w:rPr>
              <w:fldChar w:fldCharType="end"/>
            </w:r>
            <w:bookmarkEnd w:id="1"/>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2</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2</w:t>
            </w:r>
          </w:p>
        </w:tc>
      </w:tr>
      <w:tr w:rsidR="006533FF" w:rsidRPr="006533FF" w:rsidTr="00B627AF">
        <w:trPr>
          <w:trHeight w:val="409"/>
        </w:trPr>
        <w:tc>
          <w:tcPr>
            <w:tcW w:w="3310" w:type="dxa"/>
            <w:tcBorders>
              <w:top w:val="nil"/>
              <w:left w:val="nil"/>
              <w:bottom w:val="nil"/>
              <w:right w:val="nil"/>
            </w:tcBorders>
            <w:shd w:val="clear" w:color="auto" w:fill="auto"/>
          </w:tcPr>
          <w:p w:rsidR="006533FF" w:rsidRPr="006533FF" w:rsidRDefault="006533FF" w:rsidP="006533FF">
            <w:pPr>
              <w:spacing w:line="480" w:lineRule="auto"/>
              <w:jc w:val="both"/>
              <w:rPr>
                <w:b/>
                <w:sz w:val="20"/>
                <w:szCs w:val="20"/>
              </w:rPr>
            </w:pPr>
            <w:r w:rsidRPr="006533FF">
              <w:rPr>
                <w:b/>
                <w:sz w:val="20"/>
                <w:szCs w:val="20"/>
              </w:rPr>
              <w:t>Treatment of Root and Canal</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2</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2</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2</w:t>
            </w:r>
          </w:p>
        </w:tc>
      </w:tr>
      <w:tr w:rsidR="006533FF" w:rsidRPr="006533FF" w:rsidTr="00B627AF">
        <w:trPr>
          <w:trHeight w:val="424"/>
        </w:trPr>
        <w:tc>
          <w:tcPr>
            <w:tcW w:w="3310" w:type="dxa"/>
            <w:tcBorders>
              <w:top w:val="nil"/>
              <w:left w:val="nil"/>
              <w:bottom w:val="nil"/>
              <w:right w:val="nil"/>
            </w:tcBorders>
            <w:shd w:val="clear" w:color="auto" w:fill="auto"/>
          </w:tcPr>
          <w:p w:rsidR="006533FF" w:rsidRPr="006533FF" w:rsidRDefault="006533FF" w:rsidP="006533FF">
            <w:pPr>
              <w:spacing w:line="480" w:lineRule="auto"/>
              <w:jc w:val="both"/>
              <w:rPr>
                <w:b/>
                <w:sz w:val="20"/>
                <w:szCs w:val="20"/>
              </w:rPr>
            </w:pPr>
            <w:r w:rsidRPr="006533FF">
              <w:rPr>
                <w:b/>
                <w:sz w:val="20"/>
                <w:szCs w:val="20"/>
              </w:rPr>
              <w:t>Dental Extraction</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8</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13</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8</w:t>
            </w:r>
          </w:p>
        </w:tc>
        <w:tc>
          <w:tcPr>
            <w:tcW w:w="1080" w:type="dxa"/>
            <w:tcBorders>
              <w:top w:val="nil"/>
              <w:left w:val="nil"/>
              <w:bottom w:val="nil"/>
              <w:right w:val="nil"/>
            </w:tcBorders>
            <w:shd w:val="clear" w:color="auto" w:fill="auto"/>
          </w:tcPr>
          <w:p w:rsidR="006533FF" w:rsidRPr="006533FF" w:rsidRDefault="006533FF" w:rsidP="006533FF">
            <w:pPr>
              <w:spacing w:line="480" w:lineRule="auto"/>
              <w:jc w:val="both"/>
              <w:rPr>
                <w:sz w:val="20"/>
                <w:szCs w:val="20"/>
              </w:rPr>
            </w:pPr>
            <w:r w:rsidRPr="006533FF">
              <w:rPr>
                <w:sz w:val="20"/>
                <w:szCs w:val="20"/>
              </w:rPr>
              <w:t>13</w:t>
            </w:r>
          </w:p>
        </w:tc>
      </w:tr>
    </w:tbl>
    <w:p w:rsidR="006533FF" w:rsidRPr="006533FF" w:rsidRDefault="006533FF" w:rsidP="006533FF">
      <w:pPr>
        <w:spacing w:line="360" w:lineRule="auto"/>
        <w:ind w:firstLine="708"/>
        <w:jc w:val="both"/>
        <w:rPr>
          <w:szCs w:val="20"/>
        </w:rPr>
      </w:pPr>
    </w:p>
    <w:p w:rsidR="006533FF" w:rsidRPr="006533FF" w:rsidRDefault="006533FF" w:rsidP="006533FF">
      <w:pPr>
        <w:ind w:right="-360"/>
        <w:jc w:val="both"/>
        <w:rPr>
          <w:b/>
        </w:rPr>
      </w:pPr>
    </w:p>
    <w:p w:rsidR="006533FF" w:rsidRPr="006533FF" w:rsidRDefault="006533FF" w:rsidP="006533FF">
      <w:pPr>
        <w:ind w:right="-360"/>
        <w:jc w:val="both"/>
        <w:rPr>
          <w:b/>
        </w:rPr>
      </w:pPr>
    </w:p>
    <w:p w:rsidR="006533FF" w:rsidRPr="006533FF" w:rsidRDefault="006533FF" w:rsidP="006533FF"/>
    <w:p w:rsidR="006533FF" w:rsidRDefault="006533FF"/>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rsidP="00FC5216">
      <w:pPr>
        <w:rPr>
          <w:b/>
        </w:rPr>
      </w:pPr>
      <w:r>
        <w:rPr>
          <w:b/>
        </w:rPr>
        <w:lastRenderedPageBreak/>
        <w:t>Figure legends</w:t>
      </w:r>
    </w:p>
    <w:p w:rsidR="00FC5216" w:rsidRDefault="00FC5216" w:rsidP="00FC5216">
      <w:pPr>
        <w:rPr>
          <w:b/>
        </w:rPr>
      </w:pPr>
    </w:p>
    <w:p w:rsidR="00FC5216" w:rsidRDefault="00FC5216">
      <w:r>
        <w:rPr>
          <w:b/>
        </w:rPr>
        <w:t xml:space="preserve">Figure 1. </w:t>
      </w:r>
      <w:r w:rsidRPr="00570B2B">
        <w:t>Drug acceptance in groups (n)</w:t>
      </w:r>
    </w:p>
    <w:p w:rsidR="00FC5216" w:rsidRDefault="00FC5216">
      <w:r>
        <w:rPr>
          <w:noProof/>
          <w:lang w:val="tr-TR"/>
        </w:rPr>
        <w:drawing>
          <wp:anchor distT="0" distB="0" distL="114300" distR="114300" simplePos="0" relativeHeight="251659264" behindDoc="0" locked="0" layoutInCell="1" allowOverlap="1" wp14:anchorId="76743B08" wp14:editId="6409A8ED">
            <wp:simplePos x="0" y="0"/>
            <wp:positionH relativeFrom="margin">
              <wp:posOffset>-186690</wp:posOffset>
            </wp:positionH>
            <wp:positionV relativeFrom="paragraph">
              <wp:posOffset>105410</wp:posOffset>
            </wp:positionV>
            <wp:extent cx="5811795" cy="2529840"/>
            <wp:effectExtent l="0" t="0" r="1778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Default="00FC5216"/>
    <w:p w:rsidR="00FC5216" w:rsidRPr="002E1582" w:rsidRDefault="00FC5216" w:rsidP="00FC5216">
      <w:pPr>
        <w:spacing w:after="160" w:line="259" w:lineRule="auto"/>
        <w:rPr>
          <w:rFonts w:eastAsia="Calibri"/>
          <w:lang w:val="tr-TR" w:eastAsia="en-US"/>
        </w:rPr>
      </w:pPr>
      <w:proofErr w:type="spellStart"/>
      <w:r w:rsidRPr="002E1582">
        <w:rPr>
          <w:rFonts w:eastAsia="Calibri"/>
          <w:b/>
          <w:lang w:val="tr-TR" w:eastAsia="en-US"/>
        </w:rPr>
        <w:t>Figure</w:t>
      </w:r>
      <w:proofErr w:type="spellEnd"/>
      <w:r w:rsidRPr="002E1582">
        <w:rPr>
          <w:rFonts w:eastAsia="Calibri"/>
          <w:b/>
          <w:lang w:val="tr-TR" w:eastAsia="en-US"/>
        </w:rPr>
        <w:t xml:space="preserve"> 2. </w:t>
      </w:r>
      <w:proofErr w:type="spellStart"/>
      <w:r w:rsidRPr="002E1582">
        <w:rPr>
          <w:rFonts w:eastAsia="Calibri"/>
          <w:lang w:val="tr-TR" w:eastAsia="en-US"/>
        </w:rPr>
        <w:t>Ramsay</w:t>
      </w:r>
      <w:proofErr w:type="spellEnd"/>
      <w:r w:rsidRPr="002E1582">
        <w:rPr>
          <w:rFonts w:eastAsia="Calibri"/>
          <w:lang w:val="tr-TR" w:eastAsia="en-US"/>
        </w:rPr>
        <w:t xml:space="preserve"> </w:t>
      </w:r>
      <w:proofErr w:type="spellStart"/>
      <w:r w:rsidRPr="002E1582">
        <w:rPr>
          <w:rFonts w:eastAsia="Calibri"/>
          <w:lang w:val="tr-TR" w:eastAsia="en-US"/>
        </w:rPr>
        <w:t>Sedation</w:t>
      </w:r>
      <w:proofErr w:type="spellEnd"/>
      <w:r w:rsidRPr="002E1582">
        <w:rPr>
          <w:rFonts w:eastAsia="Calibri"/>
          <w:lang w:val="tr-TR" w:eastAsia="en-US"/>
        </w:rPr>
        <w:t xml:space="preserve"> </w:t>
      </w:r>
      <w:proofErr w:type="spellStart"/>
      <w:r w:rsidRPr="002E1582">
        <w:rPr>
          <w:rFonts w:eastAsia="Calibri"/>
          <w:lang w:val="tr-TR" w:eastAsia="en-US"/>
        </w:rPr>
        <w:t>Scores</w:t>
      </w:r>
      <w:proofErr w:type="spellEnd"/>
      <w:r w:rsidRPr="002E1582">
        <w:rPr>
          <w:rFonts w:eastAsia="Calibri"/>
          <w:lang w:val="tr-TR" w:eastAsia="en-US"/>
        </w:rPr>
        <w:t xml:space="preserve"> in </w:t>
      </w:r>
      <w:proofErr w:type="spellStart"/>
      <w:r w:rsidRPr="002E1582">
        <w:rPr>
          <w:rFonts w:eastAsia="Calibri"/>
          <w:lang w:val="tr-TR" w:eastAsia="en-US"/>
        </w:rPr>
        <w:t>groups</w:t>
      </w:r>
      <w:proofErr w:type="spellEnd"/>
      <w:r w:rsidRPr="002E1582">
        <w:rPr>
          <w:rFonts w:eastAsia="Calibri"/>
          <w:lang w:val="tr-TR" w:eastAsia="en-US"/>
        </w:rPr>
        <w:t xml:space="preserve"> (</w:t>
      </w:r>
      <w:proofErr w:type="spellStart"/>
      <w:r w:rsidRPr="002E1582">
        <w:rPr>
          <w:rFonts w:eastAsia="Calibri"/>
          <w:lang w:val="tr-TR" w:eastAsia="en-US"/>
        </w:rPr>
        <w:t>mean</w:t>
      </w:r>
      <w:proofErr w:type="spellEnd"/>
      <w:r w:rsidRPr="002E1582">
        <w:rPr>
          <w:rFonts w:eastAsia="Calibri"/>
          <w:lang w:val="tr-TR" w:eastAsia="en-US"/>
        </w:rPr>
        <w:t>)</w:t>
      </w:r>
    </w:p>
    <w:p w:rsidR="00FC5216" w:rsidRDefault="00FC5216"/>
    <w:p w:rsidR="00FC5216" w:rsidRDefault="00FC5216">
      <w:r>
        <w:rPr>
          <w:noProof/>
          <w:lang w:val="tr-TR"/>
        </w:rPr>
        <w:drawing>
          <wp:inline distT="0" distB="0" distL="0" distR="0" wp14:anchorId="7D0E1718" wp14:editId="2098DCFF">
            <wp:extent cx="5760720" cy="2449195"/>
            <wp:effectExtent l="0" t="0" r="11430" b="825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5216" w:rsidRDefault="00FC5216"/>
    <w:sectPr w:rsidR="00FC521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41AE"/>
    <w:multiLevelType w:val="hybridMultilevel"/>
    <w:tmpl w:val="6BA04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FF"/>
    <w:rsid w:val="005202F4"/>
    <w:rsid w:val="006533FF"/>
    <w:rsid w:val="00714459"/>
    <w:rsid w:val="00C078B8"/>
    <w:rsid w:val="00FC5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DFDE5"/>
  <w15:chartTrackingRefBased/>
  <w15:docId w15:val="{96D8B41B-68BE-4996-8857-C4A97D7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3FF"/>
    <w:pPr>
      <w:spacing w:after="0" w:line="240" w:lineRule="auto"/>
    </w:pPr>
    <w:rPr>
      <w:rFonts w:ascii="Times New Roman" w:eastAsia="Times New Roman" w:hAnsi="Times New Roman" w:cs="Times New Roman"/>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533FF"/>
    <w:rPr>
      <w:b/>
      <w:bCs/>
    </w:rPr>
  </w:style>
  <w:style w:type="character" w:styleId="Kpr">
    <w:name w:val="Hyperlink"/>
    <w:rsid w:val="006533FF"/>
    <w:rPr>
      <w:color w:val="0033CC"/>
      <w:u w:val="single"/>
    </w:rPr>
  </w:style>
  <w:style w:type="paragraph" w:styleId="ListeParagraf">
    <w:name w:val="List Paragraph"/>
    <w:basedOn w:val="Normal"/>
    <w:uiPriority w:val="34"/>
    <w:qFormat/>
    <w:rsid w:val="0065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3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www.asahq.org/"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04054054054054"/>
          <c:y val="8.4942084942084939E-2"/>
          <c:w val="0.74334344129313934"/>
          <c:h val="0.78044434036823473"/>
        </c:manualLayout>
      </c:layout>
      <c:barChart>
        <c:barDir val="col"/>
        <c:grouping val="clustered"/>
        <c:varyColors val="0"/>
        <c:ser>
          <c:idx val="0"/>
          <c:order val="0"/>
          <c:tx>
            <c:strRef>
              <c:f>Sayfa1!$A$2</c:f>
              <c:strCache>
                <c:ptCount val="1"/>
                <c:pt idx="0">
                  <c:v>Coopere</c:v>
                </c:pt>
              </c:strCache>
            </c:strRef>
          </c:tx>
          <c:spPr>
            <a:solidFill>
              <a:srgbClr val="FFFFFF"/>
            </a:solidFill>
            <a:ln w="12700">
              <a:solidFill>
                <a:srgbClr val="000000"/>
              </a:solidFill>
              <a:prstDash val="solid"/>
            </a:ln>
          </c:spPr>
          <c:invertIfNegative val="0"/>
          <c:cat>
            <c:strRef>
              <c:f>Sayfa1!$B$1:$D$1</c:f>
              <c:strCache>
                <c:ptCount val="3"/>
                <c:pt idx="0">
                  <c:v>Group I</c:v>
                </c:pt>
                <c:pt idx="1">
                  <c:v>Group II</c:v>
                </c:pt>
                <c:pt idx="2">
                  <c:v>Group III</c:v>
                </c:pt>
              </c:strCache>
            </c:strRef>
          </c:cat>
          <c:val>
            <c:numRef>
              <c:f>Sayfa1!$B$2:$D$2</c:f>
              <c:numCache>
                <c:formatCode>General</c:formatCode>
                <c:ptCount val="3"/>
                <c:pt idx="0">
                  <c:v>9</c:v>
                </c:pt>
                <c:pt idx="1">
                  <c:v>4</c:v>
                </c:pt>
                <c:pt idx="2">
                  <c:v>3</c:v>
                </c:pt>
              </c:numCache>
            </c:numRef>
          </c:val>
          <c:extLst>
            <c:ext xmlns:c16="http://schemas.microsoft.com/office/drawing/2014/chart" uri="{C3380CC4-5D6E-409C-BE32-E72D297353CC}">
              <c16:uniqueId val="{00000000-0734-4209-AA52-6CDDA9408C18}"/>
            </c:ext>
          </c:extLst>
        </c:ser>
        <c:ser>
          <c:idx val="1"/>
          <c:order val="1"/>
          <c:tx>
            <c:strRef>
              <c:f>Sayfa1!$A$3</c:f>
              <c:strCache>
                <c:ptCount val="1"/>
                <c:pt idx="0">
                  <c:v>Agite</c:v>
                </c:pt>
              </c:strCache>
            </c:strRef>
          </c:tx>
          <c:spPr>
            <a:pattFill prst="wdDn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strRef>
              <c:f>Sayfa1!$B$1:$D$1</c:f>
              <c:strCache>
                <c:ptCount val="3"/>
                <c:pt idx="0">
                  <c:v>Group I</c:v>
                </c:pt>
                <c:pt idx="1">
                  <c:v>Group II</c:v>
                </c:pt>
                <c:pt idx="2">
                  <c:v>Group III</c:v>
                </c:pt>
              </c:strCache>
            </c:strRef>
          </c:cat>
          <c:val>
            <c:numRef>
              <c:f>Sayfa1!$B$3:$D$3</c:f>
              <c:numCache>
                <c:formatCode>General</c:formatCode>
                <c:ptCount val="3"/>
                <c:pt idx="0">
                  <c:v>6</c:v>
                </c:pt>
                <c:pt idx="1">
                  <c:v>11</c:v>
                </c:pt>
                <c:pt idx="2">
                  <c:v>12</c:v>
                </c:pt>
              </c:numCache>
            </c:numRef>
          </c:val>
          <c:extLst>
            <c:ext xmlns:c16="http://schemas.microsoft.com/office/drawing/2014/chart" uri="{C3380CC4-5D6E-409C-BE32-E72D297353CC}">
              <c16:uniqueId val="{00000001-0734-4209-AA52-6CDDA9408C18}"/>
            </c:ext>
          </c:extLst>
        </c:ser>
        <c:dLbls>
          <c:showLegendKey val="0"/>
          <c:showVal val="0"/>
          <c:showCatName val="0"/>
          <c:showSerName val="0"/>
          <c:showPercent val="0"/>
          <c:showBubbleSize val="0"/>
        </c:dLbls>
        <c:gapWidth val="150"/>
        <c:axId val="155249864"/>
        <c:axId val="1"/>
      </c:barChart>
      <c:catAx>
        <c:axId val="155249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Tur"/>
                <a:ea typeface="Arial Tur"/>
                <a:cs typeface="Arial Tur"/>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Tur"/>
                    <a:ea typeface="Arial Tur"/>
                    <a:cs typeface="Arial Tur"/>
                  </a:defRPr>
                </a:pPr>
                <a:r>
                  <a:rPr lang="tr-TR"/>
                  <a:t>Patients (n)      </a:t>
                </a:r>
              </a:p>
            </c:rich>
          </c:tx>
          <c:layout>
            <c:manualLayout>
              <c:xMode val="edge"/>
              <c:yMode val="edge"/>
              <c:x val="1.8581148230257624E-2"/>
              <c:y val="0.287331518504424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Tur"/>
                <a:ea typeface="Arial Tur"/>
                <a:cs typeface="Arial Tur"/>
              </a:defRPr>
            </a:pPr>
            <a:endParaRPr lang="tr-TR"/>
          </a:p>
        </c:txPr>
        <c:crossAx val="155249864"/>
        <c:crosses val="autoZero"/>
        <c:crossBetween val="between"/>
      </c:valAx>
      <c:spPr>
        <a:solidFill>
          <a:srgbClr val="FFFFFF"/>
        </a:solidFill>
        <a:ln w="12700">
          <a:solidFill>
            <a:srgbClr val="FFFFFF"/>
          </a:solidFill>
          <a:prstDash val="solid"/>
        </a:ln>
      </c:spPr>
    </c:plotArea>
    <c:legend>
      <c:legendPos val="r"/>
      <c:layout>
        <c:manualLayout>
          <c:xMode val="edge"/>
          <c:yMode val="edge"/>
          <c:x val="0.85680333647614426"/>
          <c:y val="0.37342192820692949"/>
          <c:w val="0.11270731935207129"/>
          <c:h val="0.16106665105523521"/>
        </c:manualLayout>
      </c:layout>
      <c:overlay val="0"/>
      <c:spPr>
        <a:solidFill>
          <a:srgbClr val="FFFFFF"/>
        </a:solidFill>
        <a:ln w="3175">
          <a:solidFill>
            <a:srgbClr val="000000"/>
          </a:solidFill>
          <a:prstDash val="solid"/>
        </a:ln>
      </c:spPr>
      <c:txPr>
        <a:bodyPr/>
        <a:lstStyle/>
        <a:p>
          <a:pPr>
            <a:defRPr sz="870" b="0" i="0" u="none" strike="noStrike" baseline="0">
              <a:solidFill>
                <a:srgbClr val="000000"/>
              </a:solidFill>
              <a:latin typeface="Arial Tur"/>
              <a:ea typeface="Arial Tur"/>
              <a:cs typeface="Arial Tur"/>
            </a:defRPr>
          </a:pPr>
          <a:endParaRPr lang="tr-TR"/>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48078655153084"/>
          <c:y val="0.10827498114194381"/>
          <c:w val="0.7126832064193892"/>
          <c:h val="0.63418203240281379"/>
        </c:manualLayout>
      </c:layout>
      <c:lineChart>
        <c:grouping val="standard"/>
        <c:varyColors val="0"/>
        <c:ser>
          <c:idx val="0"/>
          <c:order val="0"/>
          <c:tx>
            <c:strRef>
              <c:f>'[Microsoft Word uygulamasında grafik]Sayfa1'!$I$96</c:f>
              <c:strCache>
                <c:ptCount val="1"/>
                <c:pt idx="0">
                  <c:v>Group 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'[Microsoft Word uygulamasında grafik]Sayfa1'!$J$95:$M$95</c:f>
              <c:strCache>
                <c:ptCount val="4"/>
                <c:pt idx="0">
                  <c:v>T1</c:v>
                </c:pt>
                <c:pt idx="1">
                  <c:v>T2</c:v>
                </c:pt>
                <c:pt idx="2">
                  <c:v>T3</c:v>
                </c:pt>
                <c:pt idx="3">
                  <c:v>T4</c:v>
                </c:pt>
              </c:strCache>
            </c:strRef>
          </c:cat>
          <c:val>
            <c:numRef>
              <c:f>'[Microsoft Word uygulamasında grafik]Sayfa1'!$J$96:$M$96</c:f>
              <c:numCache>
                <c:formatCode>General</c:formatCode>
                <c:ptCount val="4"/>
                <c:pt idx="0">
                  <c:v>2.7</c:v>
                </c:pt>
                <c:pt idx="1">
                  <c:v>3.13</c:v>
                </c:pt>
                <c:pt idx="2">
                  <c:v>6</c:v>
                </c:pt>
                <c:pt idx="3">
                  <c:v>2.2999999999999998</c:v>
                </c:pt>
              </c:numCache>
            </c:numRef>
          </c:val>
          <c:smooth val="0"/>
          <c:extLst>
            <c:ext xmlns:c16="http://schemas.microsoft.com/office/drawing/2014/chart" uri="{C3380CC4-5D6E-409C-BE32-E72D297353CC}">
              <c16:uniqueId val="{00000000-FA16-418C-A155-3813018330AB}"/>
            </c:ext>
          </c:extLst>
        </c:ser>
        <c:ser>
          <c:idx val="1"/>
          <c:order val="1"/>
          <c:tx>
            <c:strRef>
              <c:f>'[Microsoft Word uygulamasında grafik]Sayfa1'!$I$97</c:f>
              <c:strCache>
                <c:ptCount val="1"/>
                <c:pt idx="0">
                  <c:v>Group II</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'[Microsoft Word uygulamasında grafik]Sayfa1'!$J$95:$M$95</c:f>
              <c:strCache>
                <c:ptCount val="4"/>
                <c:pt idx="0">
                  <c:v>T1</c:v>
                </c:pt>
                <c:pt idx="1">
                  <c:v>T2</c:v>
                </c:pt>
                <c:pt idx="2">
                  <c:v>T3</c:v>
                </c:pt>
                <c:pt idx="3">
                  <c:v>T4</c:v>
                </c:pt>
              </c:strCache>
            </c:strRef>
          </c:cat>
          <c:val>
            <c:numRef>
              <c:f>'[Microsoft Word uygulamasında grafik]Sayfa1'!$J$97:$M$97</c:f>
              <c:numCache>
                <c:formatCode>General</c:formatCode>
                <c:ptCount val="4"/>
                <c:pt idx="0">
                  <c:v>2.6</c:v>
                </c:pt>
                <c:pt idx="1">
                  <c:v>3.17</c:v>
                </c:pt>
                <c:pt idx="2">
                  <c:v>6</c:v>
                </c:pt>
                <c:pt idx="3">
                  <c:v>2.1</c:v>
                </c:pt>
              </c:numCache>
            </c:numRef>
          </c:val>
          <c:smooth val="0"/>
          <c:extLst>
            <c:ext xmlns:c16="http://schemas.microsoft.com/office/drawing/2014/chart" uri="{C3380CC4-5D6E-409C-BE32-E72D297353CC}">
              <c16:uniqueId val="{00000001-FA16-418C-A155-3813018330AB}"/>
            </c:ext>
          </c:extLst>
        </c:ser>
        <c:ser>
          <c:idx val="2"/>
          <c:order val="2"/>
          <c:tx>
            <c:strRef>
              <c:f>'[Microsoft Word uygulamasında grafik]Sayfa1'!$I$98</c:f>
              <c:strCache>
                <c:ptCount val="1"/>
                <c:pt idx="0">
                  <c:v>Group III</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strRef>
              <c:f>'[Microsoft Word uygulamasında grafik]Sayfa1'!$J$95:$M$95</c:f>
              <c:strCache>
                <c:ptCount val="4"/>
                <c:pt idx="0">
                  <c:v>T1</c:v>
                </c:pt>
                <c:pt idx="1">
                  <c:v>T2</c:v>
                </c:pt>
                <c:pt idx="2">
                  <c:v>T3</c:v>
                </c:pt>
                <c:pt idx="3">
                  <c:v>T4</c:v>
                </c:pt>
              </c:strCache>
            </c:strRef>
          </c:cat>
          <c:val>
            <c:numRef>
              <c:f>'[Microsoft Word uygulamasında grafik]Sayfa1'!$J$98:$M$98</c:f>
              <c:numCache>
                <c:formatCode>General</c:formatCode>
                <c:ptCount val="4"/>
                <c:pt idx="0">
                  <c:v>2.5</c:v>
                </c:pt>
                <c:pt idx="1">
                  <c:v>3.19</c:v>
                </c:pt>
                <c:pt idx="2">
                  <c:v>6</c:v>
                </c:pt>
                <c:pt idx="3">
                  <c:v>2.1</c:v>
                </c:pt>
              </c:numCache>
            </c:numRef>
          </c:val>
          <c:smooth val="0"/>
          <c:extLst>
            <c:ext xmlns:c16="http://schemas.microsoft.com/office/drawing/2014/chart" uri="{C3380CC4-5D6E-409C-BE32-E72D297353CC}">
              <c16:uniqueId val="{00000002-FA16-418C-A155-3813018330AB}"/>
            </c:ext>
          </c:extLst>
        </c:ser>
        <c:ser>
          <c:idx val="3"/>
          <c:order val="3"/>
          <c:tx>
            <c:strRef>
              <c:f>'[Microsoft Word uygulamasında grafik]Sayfa1'!$I$99</c:f>
              <c:strCache>
                <c:ptCount val="1"/>
                <c:pt idx="0">
                  <c:v>Group IV</c:v>
                </c:pt>
              </c:strCache>
            </c:strRef>
          </c:tx>
          <c:spPr>
            <a:ln w="12700">
              <a:solidFill>
                <a:srgbClr val="00FFFF"/>
              </a:solidFill>
              <a:prstDash val="solid"/>
            </a:ln>
          </c:spPr>
          <c:marker>
            <c:symbol val="x"/>
            <c:size val="5"/>
            <c:spPr>
              <a:noFill/>
              <a:ln>
                <a:solidFill>
                  <a:srgbClr val="00FFFF"/>
                </a:solidFill>
                <a:prstDash val="solid"/>
              </a:ln>
            </c:spPr>
          </c:marker>
          <c:cat>
            <c:strRef>
              <c:f>'[Microsoft Word uygulamasında grafik]Sayfa1'!$J$95:$M$95</c:f>
              <c:strCache>
                <c:ptCount val="4"/>
                <c:pt idx="0">
                  <c:v>T1</c:v>
                </c:pt>
                <c:pt idx="1">
                  <c:v>T2</c:v>
                </c:pt>
                <c:pt idx="2">
                  <c:v>T3</c:v>
                </c:pt>
                <c:pt idx="3">
                  <c:v>T4</c:v>
                </c:pt>
              </c:strCache>
            </c:strRef>
          </c:cat>
          <c:val>
            <c:numRef>
              <c:f>'[Microsoft Word uygulamasında grafik]Sayfa1'!$J$99:$M$99</c:f>
              <c:numCache>
                <c:formatCode>General</c:formatCode>
                <c:ptCount val="4"/>
                <c:pt idx="0">
                  <c:v>1</c:v>
                </c:pt>
                <c:pt idx="1">
                  <c:v>1</c:v>
                </c:pt>
                <c:pt idx="2">
                  <c:v>6</c:v>
                </c:pt>
                <c:pt idx="3">
                  <c:v>2.2000000000000002</c:v>
                </c:pt>
              </c:numCache>
            </c:numRef>
          </c:val>
          <c:smooth val="0"/>
          <c:extLst>
            <c:ext xmlns:c16="http://schemas.microsoft.com/office/drawing/2014/chart" uri="{C3380CC4-5D6E-409C-BE32-E72D297353CC}">
              <c16:uniqueId val="{00000003-FA16-418C-A155-3813018330AB}"/>
            </c:ext>
          </c:extLst>
        </c:ser>
        <c:dLbls>
          <c:showLegendKey val="0"/>
          <c:showVal val="0"/>
          <c:showCatName val="0"/>
          <c:showSerName val="0"/>
          <c:showPercent val="0"/>
          <c:showBubbleSize val="0"/>
        </c:dLbls>
        <c:marker val="1"/>
        <c:smooth val="0"/>
        <c:axId val="157433160"/>
        <c:axId val="1"/>
      </c:lineChart>
      <c:catAx>
        <c:axId val="157433160"/>
        <c:scaling>
          <c:orientation val="minMax"/>
        </c:scaling>
        <c:delete val="0"/>
        <c:axPos val="b"/>
        <c:title>
          <c:tx>
            <c:rich>
              <a:bodyPr/>
              <a:lstStyle/>
              <a:p>
                <a:pPr>
                  <a:defRPr sz="1000" b="1" i="0" u="none" strike="noStrike" baseline="0">
                    <a:solidFill>
                      <a:srgbClr val="000000"/>
                    </a:solidFill>
                    <a:latin typeface="Arial Tur"/>
                    <a:ea typeface="Arial Tur"/>
                    <a:cs typeface="Arial Tur"/>
                  </a:defRPr>
                </a:pPr>
                <a:r>
                  <a:rPr lang="tr-TR"/>
                  <a:t>Times</a:t>
                </a:r>
              </a:p>
            </c:rich>
          </c:tx>
          <c:layout>
            <c:manualLayout>
              <c:xMode val="edge"/>
              <c:yMode val="edge"/>
              <c:x val="0.43534946998469476"/>
              <c:y val="0.8584659219111259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Tur"/>
                <a:ea typeface="Arial Tur"/>
                <a:cs typeface="Arial Tur"/>
              </a:defRPr>
            </a:pPr>
            <a:endParaRPr lang="tr-TR"/>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Tur"/>
                    <a:ea typeface="Arial Tur"/>
                    <a:cs typeface="Arial Tur"/>
                  </a:defRPr>
                </a:pPr>
                <a:r>
                  <a:rPr lang="tr-TR"/>
                  <a:t>RSS     </a:t>
                </a:r>
              </a:p>
            </c:rich>
          </c:tx>
          <c:layout>
            <c:manualLayout>
              <c:xMode val="edge"/>
              <c:yMode val="edge"/>
              <c:x val="2.7410892554591892E-2"/>
              <c:y val="0.3170910162014068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Tur"/>
                <a:ea typeface="Arial Tur"/>
                <a:cs typeface="Arial Tur"/>
              </a:defRPr>
            </a:pPr>
            <a:endParaRPr lang="tr-TR"/>
          </a:p>
        </c:txPr>
        <c:crossAx val="157433160"/>
        <c:crosses val="autoZero"/>
        <c:crossBetween val="between"/>
      </c:valAx>
    </c:plotArea>
    <c:legend>
      <c:legendPos val="r"/>
      <c:overlay val="0"/>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3545</Words>
  <Characters>20211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Özgül Baygın</dc:creator>
  <cp:keywords/>
  <dc:description/>
  <cp:lastModifiedBy>Özgül Baygın</cp:lastModifiedBy>
  <cp:revision>4</cp:revision>
  <dcterms:created xsi:type="dcterms:W3CDTF">2016-10-05T15:58:00Z</dcterms:created>
  <dcterms:modified xsi:type="dcterms:W3CDTF">2016-10-05T17:02:00Z</dcterms:modified>
</cp:coreProperties>
</file>