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927F6" w14:textId="5FC3C104" w:rsidR="00761CDC" w:rsidRPr="00847A38" w:rsidRDefault="00575EC1" w:rsidP="00761CDC">
      <w:pPr>
        <w:rPr>
          <w:rFonts w:ascii="Times" w:hAnsi="Times"/>
          <w:sz w:val="20"/>
          <w:szCs w:val="20"/>
          <w:lang w:val="en-US"/>
        </w:rPr>
      </w:pPr>
      <w:r>
        <w:rPr>
          <w:rFonts w:ascii="Times" w:hAnsi="Times"/>
          <w:b/>
          <w:lang w:val="en-US"/>
        </w:rPr>
        <w:t xml:space="preserve"> </w:t>
      </w:r>
    </w:p>
    <w:p w14:paraId="78A71C36" w14:textId="07F73A91" w:rsidR="00A27A27" w:rsidRPr="00847A38" w:rsidRDefault="00A27A27">
      <w:pPr>
        <w:rPr>
          <w:rFonts w:ascii="Times" w:hAnsi="Times"/>
          <w:sz w:val="20"/>
          <w:szCs w:val="20"/>
          <w:lang w:val="en-US"/>
        </w:rPr>
      </w:pPr>
    </w:p>
    <w:p w14:paraId="76EFBFF3" w14:textId="77777777" w:rsidR="00FB0AC2" w:rsidRPr="00575EC1" w:rsidRDefault="00FB0AC2" w:rsidP="00FB0AC2">
      <w:pPr>
        <w:rPr>
          <w:rFonts w:ascii="Times" w:hAnsi="Times"/>
          <w:lang w:val="en-US"/>
        </w:rPr>
      </w:pPr>
      <w:r w:rsidRPr="00575EC1">
        <w:rPr>
          <w:rFonts w:ascii="Times" w:hAnsi="Times"/>
          <w:i/>
          <w:lang w:val="en-US"/>
        </w:rPr>
        <w:t>Table 1:</w:t>
      </w:r>
      <w:r w:rsidRPr="00575EC1">
        <w:rPr>
          <w:rFonts w:ascii="Times" w:hAnsi="Times"/>
          <w:lang w:val="en-US"/>
        </w:rPr>
        <w:t xml:space="preserve"> Data for web-based search using PubMed.</w:t>
      </w:r>
    </w:p>
    <w:p w14:paraId="66A3CB14" w14:textId="77777777" w:rsidR="00FB0AC2" w:rsidRPr="00847A38" w:rsidRDefault="00FB0AC2" w:rsidP="00FB0AC2">
      <w:pPr>
        <w:rPr>
          <w:rFonts w:ascii="Times" w:hAnsi="Times"/>
          <w:lang w:val="en-US"/>
        </w:rPr>
      </w:pPr>
    </w:p>
    <w:tbl>
      <w:tblPr>
        <w:tblStyle w:val="Tabelgitter"/>
        <w:tblW w:w="0" w:type="auto"/>
        <w:tblLook w:val="04A0" w:firstRow="1" w:lastRow="0" w:firstColumn="1" w:lastColumn="0" w:noHBand="0" w:noVBand="1"/>
      </w:tblPr>
      <w:tblGrid>
        <w:gridCol w:w="1156"/>
        <w:gridCol w:w="4197"/>
        <w:gridCol w:w="4394"/>
        <w:gridCol w:w="2127"/>
        <w:gridCol w:w="1627"/>
      </w:tblGrid>
      <w:tr w:rsidR="00FB0AC2" w:rsidRPr="00847A38" w14:paraId="737B474B" w14:textId="77777777" w:rsidTr="00197916">
        <w:tc>
          <w:tcPr>
            <w:tcW w:w="1156" w:type="dxa"/>
            <w:shd w:val="clear" w:color="auto" w:fill="95B3D7" w:themeFill="accent1" w:themeFillTint="99"/>
          </w:tcPr>
          <w:p w14:paraId="34B2BD92" w14:textId="77777777" w:rsidR="00FB0AC2" w:rsidRPr="00847A38" w:rsidRDefault="00FB0AC2" w:rsidP="00197916">
            <w:pPr>
              <w:rPr>
                <w:rFonts w:ascii="Times" w:hAnsi="Times"/>
                <w:lang w:val="en-US"/>
              </w:rPr>
            </w:pPr>
            <w:r w:rsidRPr="00847A38">
              <w:rPr>
                <w:rFonts w:ascii="Times" w:hAnsi="Times"/>
                <w:lang w:val="en-US"/>
              </w:rPr>
              <w:t>Search</w:t>
            </w:r>
          </w:p>
        </w:tc>
        <w:tc>
          <w:tcPr>
            <w:tcW w:w="4197" w:type="dxa"/>
            <w:shd w:val="clear" w:color="auto" w:fill="95B3D7" w:themeFill="accent1" w:themeFillTint="99"/>
          </w:tcPr>
          <w:p w14:paraId="481F54D1" w14:textId="77777777" w:rsidR="00FB0AC2" w:rsidRPr="00847A38" w:rsidRDefault="00FB0AC2" w:rsidP="00197916">
            <w:pPr>
              <w:rPr>
                <w:rFonts w:ascii="Times" w:hAnsi="Times"/>
                <w:lang w:val="en-US"/>
              </w:rPr>
            </w:pPr>
            <w:r w:rsidRPr="00847A38">
              <w:rPr>
                <w:rFonts w:ascii="Times" w:hAnsi="Times"/>
                <w:lang w:val="en-US"/>
              </w:rPr>
              <w:t>MeSH Term</w:t>
            </w:r>
          </w:p>
        </w:tc>
        <w:tc>
          <w:tcPr>
            <w:tcW w:w="4394" w:type="dxa"/>
            <w:shd w:val="clear" w:color="auto" w:fill="95B3D7" w:themeFill="accent1" w:themeFillTint="99"/>
          </w:tcPr>
          <w:p w14:paraId="7505BA67" w14:textId="77777777" w:rsidR="00FB0AC2" w:rsidRPr="00847A38" w:rsidRDefault="00FB0AC2" w:rsidP="00197916">
            <w:pPr>
              <w:rPr>
                <w:rFonts w:ascii="Times" w:hAnsi="Times"/>
                <w:lang w:val="en-US"/>
              </w:rPr>
            </w:pPr>
            <w:r w:rsidRPr="00847A38">
              <w:rPr>
                <w:rFonts w:ascii="Times" w:hAnsi="Times"/>
                <w:lang w:val="en-US"/>
              </w:rPr>
              <w:t>Time limit (publication date)</w:t>
            </w:r>
          </w:p>
        </w:tc>
        <w:tc>
          <w:tcPr>
            <w:tcW w:w="2127" w:type="dxa"/>
            <w:shd w:val="clear" w:color="auto" w:fill="95B3D7" w:themeFill="accent1" w:themeFillTint="99"/>
          </w:tcPr>
          <w:p w14:paraId="77CCF182" w14:textId="77777777" w:rsidR="00FB0AC2" w:rsidRPr="00847A38" w:rsidRDefault="00FB0AC2" w:rsidP="00197916">
            <w:pPr>
              <w:rPr>
                <w:rFonts w:ascii="Times" w:hAnsi="Times"/>
                <w:lang w:val="en-US"/>
              </w:rPr>
            </w:pPr>
            <w:r w:rsidRPr="00847A38">
              <w:rPr>
                <w:rFonts w:ascii="Times" w:hAnsi="Times"/>
                <w:lang w:val="en-US"/>
              </w:rPr>
              <w:t>Results</w:t>
            </w:r>
          </w:p>
        </w:tc>
        <w:tc>
          <w:tcPr>
            <w:tcW w:w="1627" w:type="dxa"/>
            <w:shd w:val="clear" w:color="auto" w:fill="95B3D7" w:themeFill="accent1" w:themeFillTint="99"/>
          </w:tcPr>
          <w:p w14:paraId="0C59FE3E" w14:textId="77777777" w:rsidR="00FB0AC2" w:rsidRPr="00847A38" w:rsidRDefault="00FB0AC2" w:rsidP="00197916">
            <w:pPr>
              <w:rPr>
                <w:rFonts w:ascii="Times" w:hAnsi="Times"/>
                <w:lang w:val="en-US"/>
              </w:rPr>
            </w:pPr>
            <w:r w:rsidRPr="00847A38">
              <w:rPr>
                <w:rFonts w:ascii="Times" w:hAnsi="Times"/>
                <w:lang w:val="en-US"/>
              </w:rPr>
              <w:t>Included</w:t>
            </w:r>
          </w:p>
        </w:tc>
      </w:tr>
      <w:tr w:rsidR="00FB0AC2" w:rsidRPr="00847A38" w14:paraId="22EF78C7" w14:textId="77777777" w:rsidTr="00197916">
        <w:tc>
          <w:tcPr>
            <w:tcW w:w="1156" w:type="dxa"/>
          </w:tcPr>
          <w:p w14:paraId="5B6AFFFB" w14:textId="77777777" w:rsidR="00FB0AC2" w:rsidRPr="00847A38" w:rsidRDefault="00FB0AC2" w:rsidP="00197916">
            <w:pPr>
              <w:rPr>
                <w:rFonts w:ascii="Times" w:hAnsi="Times"/>
                <w:lang w:val="en-US"/>
              </w:rPr>
            </w:pPr>
            <w:r w:rsidRPr="00847A38">
              <w:rPr>
                <w:rFonts w:ascii="Times" w:hAnsi="Times"/>
                <w:lang w:val="en-US"/>
              </w:rPr>
              <w:t>#1</w:t>
            </w:r>
          </w:p>
        </w:tc>
        <w:tc>
          <w:tcPr>
            <w:tcW w:w="4197" w:type="dxa"/>
          </w:tcPr>
          <w:p w14:paraId="32EB2437" w14:textId="77777777" w:rsidR="00FB0AC2" w:rsidRPr="00847A38" w:rsidRDefault="00FB0AC2" w:rsidP="00197916">
            <w:pPr>
              <w:rPr>
                <w:rFonts w:ascii="Times" w:hAnsi="Times"/>
                <w:lang w:val="en-US"/>
              </w:rPr>
            </w:pPr>
            <w:r w:rsidRPr="00847A38">
              <w:rPr>
                <w:rFonts w:ascii="Times" w:hAnsi="Times"/>
                <w:lang w:val="en-US"/>
              </w:rPr>
              <w:t>Orthognathic</w:t>
            </w:r>
          </w:p>
        </w:tc>
        <w:tc>
          <w:tcPr>
            <w:tcW w:w="4394" w:type="dxa"/>
          </w:tcPr>
          <w:p w14:paraId="01D91844" w14:textId="77777777" w:rsidR="00FB0AC2" w:rsidRPr="00847A38" w:rsidRDefault="00FB0AC2" w:rsidP="00197916">
            <w:pPr>
              <w:rPr>
                <w:rFonts w:ascii="Times" w:hAnsi="Times"/>
                <w:lang w:val="en-US"/>
              </w:rPr>
            </w:pPr>
            <w:r w:rsidRPr="00847A38">
              <w:rPr>
                <w:rFonts w:ascii="Times" w:hAnsi="Times"/>
                <w:lang w:val="en-US"/>
              </w:rPr>
              <w:t>All</w:t>
            </w:r>
          </w:p>
        </w:tc>
        <w:tc>
          <w:tcPr>
            <w:tcW w:w="2127" w:type="dxa"/>
          </w:tcPr>
          <w:p w14:paraId="0084AAB8" w14:textId="77777777" w:rsidR="00FB0AC2" w:rsidRPr="00847A38" w:rsidRDefault="00FB0AC2" w:rsidP="00197916">
            <w:pPr>
              <w:rPr>
                <w:rFonts w:ascii="Times" w:hAnsi="Times"/>
                <w:lang w:val="en-US"/>
              </w:rPr>
            </w:pPr>
            <w:r w:rsidRPr="00847A38">
              <w:rPr>
                <w:rFonts w:ascii="Times" w:hAnsi="Times"/>
                <w:lang w:val="en-US"/>
              </w:rPr>
              <w:t>4239</w:t>
            </w:r>
          </w:p>
        </w:tc>
        <w:tc>
          <w:tcPr>
            <w:tcW w:w="1627" w:type="dxa"/>
          </w:tcPr>
          <w:p w14:paraId="7C96094B" w14:textId="77777777" w:rsidR="00FB0AC2" w:rsidRPr="00847A38" w:rsidRDefault="00FB0AC2" w:rsidP="00197916">
            <w:pPr>
              <w:rPr>
                <w:rFonts w:ascii="Times" w:hAnsi="Times"/>
                <w:lang w:val="en-US"/>
              </w:rPr>
            </w:pPr>
          </w:p>
        </w:tc>
      </w:tr>
      <w:tr w:rsidR="00FB0AC2" w:rsidRPr="00847A38" w14:paraId="71822F37" w14:textId="77777777" w:rsidTr="00197916">
        <w:tc>
          <w:tcPr>
            <w:tcW w:w="1156" w:type="dxa"/>
          </w:tcPr>
          <w:p w14:paraId="57F93EBC" w14:textId="77777777" w:rsidR="00FB0AC2" w:rsidRPr="00847A38" w:rsidRDefault="00FB0AC2" w:rsidP="00197916">
            <w:pPr>
              <w:rPr>
                <w:rFonts w:ascii="Times" w:hAnsi="Times"/>
                <w:lang w:val="en-US"/>
              </w:rPr>
            </w:pPr>
            <w:r w:rsidRPr="00847A38">
              <w:rPr>
                <w:rFonts w:ascii="Times" w:hAnsi="Times"/>
                <w:lang w:val="en-US"/>
              </w:rPr>
              <w:t>#2</w:t>
            </w:r>
          </w:p>
        </w:tc>
        <w:tc>
          <w:tcPr>
            <w:tcW w:w="4197" w:type="dxa"/>
          </w:tcPr>
          <w:p w14:paraId="0FE8A757" w14:textId="77777777" w:rsidR="00FB0AC2" w:rsidRPr="00847A38" w:rsidRDefault="00FB0AC2" w:rsidP="00197916">
            <w:pPr>
              <w:rPr>
                <w:rFonts w:ascii="Times" w:hAnsi="Times"/>
                <w:lang w:val="en-US"/>
              </w:rPr>
            </w:pPr>
            <w:r w:rsidRPr="00847A38">
              <w:rPr>
                <w:rFonts w:ascii="Times" w:hAnsi="Times"/>
                <w:lang w:val="en-US"/>
              </w:rPr>
              <w:t xml:space="preserve">Orthognathic </w:t>
            </w:r>
          </w:p>
        </w:tc>
        <w:tc>
          <w:tcPr>
            <w:tcW w:w="4394" w:type="dxa"/>
          </w:tcPr>
          <w:p w14:paraId="6B685D70" w14:textId="77777777" w:rsidR="00FB0AC2" w:rsidRPr="00847A38" w:rsidRDefault="00FB0AC2" w:rsidP="00197916">
            <w:pPr>
              <w:rPr>
                <w:rFonts w:ascii="Times" w:hAnsi="Times"/>
                <w:lang w:val="en-US"/>
              </w:rPr>
            </w:pPr>
            <w:r w:rsidRPr="00847A38">
              <w:rPr>
                <w:rFonts w:ascii="Times" w:hAnsi="Times"/>
                <w:lang w:val="en-US"/>
              </w:rPr>
              <w:t>2000-present</w:t>
            </w:r>
          </w:p>
        </w:tc>
        <w:tc>
          <w:tcPr>
            <w:tcW w:w="2127" w:type="dxa"/>
          </w:tcPr>
          <w:p w14:paraId="1DD591AB" w14:textId="77777777" w:rsidR="00FB0AC2" w:rsidRPr="00847A38" w:rsidRDefault="00FB0AC2" w:rsidP="00197916">
            <w:pPr>
              <w:rPr>
                <w:rFonts w:ascii="Times" w:hAnsi="Times"/>
                <w:lang w:val="en-US"/>
              </w:rPr>
            </w:pPr>
            <w:r w:rsidRPr="00847A38">
              <w:rPr>
                <w:rFonts w:ascii="Times" w:hAnsi="Times"/>
                <w:lang w:val="en-US"/>
              </w:rPr>
              <w:t>3056</w:t>
            </w:r>
          </w:p>
        </w:tc>
        <w:tc>
          <w:tcPr>
            <w:tcW w:w="1627" w:type="dxa"/>
          </w:tcPr>
          <w:p w14:paraId="254209E4" w14:textId="77777777" w:rsidR="00FB0AC2" w:rsidRPr="00847A38" w:rsidRDefault="00FB0AC2" w:rsidP="00197916">
            <w:pPr>
              <w:rPr>
                <w:rFonts w:ascii="Times" w:hAnsi="Times"/>
                <w:lang w:val="en-US"/>
              </w:rPr>
            </w:pPr>
          </w:p>
        </w:tc>
      </w:tr>
      <w:tr w:rsidR="00FB0AC2" w:rsidRPr="00847A38" w14:paraId="76420ACA" w14:textId="77777777" w:rsidTr="00197916">
        <w:tc>
          <w:tcPr>
            <w:tcW w:w="1156" w:type="dxa"/>
          </w:tcPr>
          <w:p w14:paraId="2A5A4472" w14:textId="77777777" w:rsidR="00FB0AC2" w:rsidRPr="00847A38" w:rsidRDefault="00FB0AC2" w:rsidP="00197916">
            <w:pPr>
              <w:rPr>
                <w:rFonts w:ascii="Times" w:hAnsi="Times"/>
                <w:lang w:val="en-US"/>
              </w:rPr>
            </w:pPr>
            <w:r w:rsidRPr="00847A38">
              <w:rPr>
                <w:rFonts w:ascii="Times" w:hAnsi="Times"/>
                <w:lang w:val="en-US"/>
              </w:rPr>
              <w:t>#3</w:t>
            </w:r>
          </w:p>
        </w:tc>
        <w:tc>
          <w:tcPr>
            <w:tcW w:w="4197" w:type="dxa"/>
          </w:tcPr>
          <w:p w14:paraId="64009FCE" w14:textId="77777777" w:rsidR="00FB0AC2" w:rsidRPr="00847A38" w:rsidRDefault="00FB0AC2" w:rsidP="00197916">
            <w:pPr>
              <w:rPr>
                <w:rFonts w:ascii="Times" w:hAnsi="Times"/>
                <w:lang w:val="en-US"/>
              </w:rPr>
            </w:pPr>
            <w:r w:rsidRPr="00847A38">
              <w:rPr>
                <w:rFonts w:ascii="Times" w:hAnsi="Times"/>
                <w:lang w:val="en-US"/>
              </w:rPr>
              <w:t>Orthognathic Outcome</w:t>
            </w:r>
          </w:p>
        </w:tc>
        <w:tc>
          <w:tcPr>
            <w:tcW w:w="4394" w:type="dxa"/>
          </w:tcPr>
          <w:p w14:paraId="06FF8C3D" w14:textId="77777777" w:rsidR="00FB0AC2" w:rsidRPr="00847A38" w:rsidRDefault="00FB0AC2" w:rsidP="00197916">
            <w:pPr>
              <w:rPr>
                <w:rFonts w:ascii="Times" w:hAnsi="Times"/>
                <w:lang w:val="en-US"/>
              </w:rPr>
            </w:pPr>
            <w:r w:rsidRPr="00847A38">
              <w:rPr>
                <w:rFonts w:ascii="Times" w:hAnsi="Times"/>
                <w:lang w:val="en-US"/>
              </w:rPr>
              <w:t>All</w:t>
            </w:r>
          </w:p>
        </w:tc>
        <w:tc>
          <w:tcPr>
            <w:tcW w:w="2127" w:type="dxa"/>
          </w:tcPr>
          <w:p w14:paraId="14B3B0F1" w14:textId="77777777" w:rsidR="00FB0AC2" w:rsidRPr="00847A38" w:rsidRDefault="00FB0AC2" w:rsidP="00197916">
            <w:pPr>
              <w:rPr>
                <w:rFonts w:ascii="Times" w:hAnsi="Times"/>
                <w:lang w:val="en-US"/>
              </w:rPr>
            </w:pPr>
            <w:r w:rsidRPr="00847A38">
              <w:rPr>
                <w:rFonts w:ascii="Times" w:hAnsi="Times"/>
                <w:lang w:val="en-US"/>
              </w:rPr>
              <w:t>918</w:t>
            </w:r>
          </w:p>
        </w:tc>
        <w:tc>
          <w:tcPr>
            <w:tcW w:w="1627" w:type="dxa"/>
          </w:tcPr>
          <w:p w14:paraId="4C97CA8B" w14:textId="77777777" w:rsidR="00FB0AC2" w:rsidRPr="00847A38" w:rsidRDefault="00FB0AC2" w:rsidP="00197916">
            <w:pPr>
              <w:rPr>
                <w:rFonts w:ascii="Times" w:hAnsi="Times"/>
                <w:lang w:val="en-US"/>
              </w:rPr>
            </w:pPr>
          </w:p>
        </w:tc>
      </w:tr>
      <w:tr w:rsidR="00FB0AC2" w:rsidRPr="00847A38" w14:paraId="32C7C8FF" w14:textId="77777777" w:rsidTr="00197916">
        <w:tc>
          <w:tcPr>
            <w:tcW w:w="1156" w:type="dxa"/>
          </w:tcPr>
          <w:p w14:paraId="5EA4CE7C" w14:textId="77777777" w:rsidR="00FB0AC2" w:rsidRPr="00847A38" w:rsidRDefault="00FB0AC2" w:rsidP="00197916">
            <w:pPr>
              <w:rPr>
                <w:rFonts w:ascii="Times" w:hAnsi="Times"/>
                <w:lang w:val="en-US"/>
              </w:rPr>
            </w:pPr>
            <w:r w:rsidRPr="00847A38">
              <w:rPr>
                <w:rFonts w:ascii="Times" w:hAnsi="Times"/>
                <w:lang w:val="en-US"/>
              </w:rPr>
              <w:t>#4</w:t>
            </w:r>
          </w:p>
        </w:tc>
        <w:tc>
          <w:tcPr>
            <w:tcW w:w="4197" w:type="dxa"/>
          </w:tcPr>
          <w:p w14:paraId="7392427C" w14:textId="77777777" w:rsidR="00FB0AC2" w:rsidRPr="00847A38" w:rsidRDefault="00FB0AC2" w:rsidP="00197916">
            <w:pPr>
              <w:rPr>
                <w:rFonts w:ascii="Times" w:hAnsi="Times"/>
                <w:lang w:val="en-US"/>
              </w:rPr>
            </w:pPr>
            <w:r w:rsidRPr="00847A38">
              <w:rPr>
                <w:rFonts w:ascii="Times" w:hAnsi="Times"/>
                <w:lang w:val="en-US"/>
              </w:rPr>
              <w:t>Orthognathic Outcome</w:t>
            </w:r>
          </w:p>
        </w:tc>
        <w:tc>
          <w:tcPr>
            <w:tcW w:w="4394" w:type="dxa"/>
          </w:tcPr>
          <w:p w14:paraId="4D0D8E46" w14:textId="77777777" w:rsidR="00FB0AC2" w:rsidRPr="00847A38" w:rsidRDefault="00FB0AC2" w:rsidP="00197916">
            <w:pPr>
              <w:rPr>
                <w:rFonts w:ascii="Times" w:hAnsi="Times"/>
                <w:lang w:val="en-US"/>
              </w:rPr>
            </w:pPr>
            <w:r w:rsidRPr="00847A38">
              <w:rPr>
                <w:rFonts w:ascii="Times" w:hAnsi="Times"/>
                <w:lang w:val="en-US"/>
              </w:rPr>
              <w:t>2000-present</w:t>
            </w:r>
          </w:p>
        </w:tc>
        <w:tc>
          <w:tcPr>
            <w:tcW w:w="2127" w:type="dxa"/>
          </w:tcPr>
          <w:p w14:paraId="1C17FDC1" w14:textId="77777777" w:rsidR="00FB0AC2" w:rsidRPr="00847A38" w:rsidRDefault="00FB0AC2" w:rsidP="00197916">
            <w:pPr>
              <w:rPr>
                <w:rFonts w:ascii="Times" w:hAnsi="Times"/>
                <w:lang w:val="en-US"/>
              </w:rPr>
            </w:pPr>
            <w:r w:rsidRPr="00847A38">
              <w:rPr>
                <w:rFonts w:ascii="Times" w:hAnsi="Times"/>
                <w:lang w:val="en-US"/>
              </w:rPr>
              <w:t>784</w:t>
            </w:r>
          </w:p>
        </w:tc>
        <w:tc>
          <w:tcPr>
            <w:tcW w:w="1627" w:type="dxa"/>
          </w:tcPr>
          <w:p w14:paraId="5F6EA549" w14:textId="77777777" w:rsidR="00FB0AC2" w:rsidRPr="00847A38" w:rsidRDefault="00FB0AC2" w:rsidP="00197916">
            <w:pPr>
              <w:rPr>
                <w:rFonts w:ascii="Times" w:hAnsi="Times"/>
                <w:lang w:val="en-US"/>
              </w:rPr>
            </w:pPr>
          </w:p>
        </w:tc>
      </w:tr>
      <w:tr w:rsidR="00FB0AC2" w:rsidRPr="00847A38" w14:paraId="111E9037" w14:textId="77777777" w:rsidTr="00197916">
        <w:tc>
          <w:tcPr>
            <w:tcW w:w="1156" w:type="dxa"/>
          </w:tcPr>
          <w:p w14:paraId="3576B28F" w14:textId="77777777" w:rsidR="00FB0AC2" w:rsidRPr="00847A38" w:rsidRDefault="00FB0AC2" w:rsidP="00197916">
            <w:pPr>
              <w:rPr>
                <w:rFonts w:ascii="Times" w:hAnsi="Times"/>
                <w:lang w:val="en-US"/>
              </w:rPr>
            </w:pPr>
            <w:r w:rsidRPr="00847A38">
              <w:rPr>
                <w:rFonts w:ascii="Times" w:hAnsi="Times"/>
                <w:lang w:val="en-US"/>
              </w:rPr>
              <w:t>#5</w:t>
            </w:r>
          </w:p>
        </w:tc>
        <w:tc>
          <w:tcPr>
            <w:tcW w:w="4197" w:type="dxa"/>
          </w:tcPr>
          <w:p w14:paraId="25ACDC36" w14:textId="77777777" w:rsidR="00FB0AC2" w:rsidRPr="00847A38" w:rsidRDefault="00FB0AC2" w:rsidP="00197916">
            <w:pPr>
              <w:rPr>
                <w:rFonts w:ascii="Times" w:hAnsi="Times"/>
                <w:lang w:val="en-US"/>
              </w:rPr>
            </w:pPr>
            <w:r w:rsidRPr="00847A38">
              <w:rPr>
                <w:rFonts w:ascii="Times" w:hAnsi="Times"/>
                <w:lang w:val="en-US"/>
              </w:rPr>
              <w:t>Orthognathic Prognosis</w:t>
            </w:r>
          </w:p>
        </w:tc>
        <w:tc>
          <w:tcPr>
            <w:tcW w:w="4394" w:type="dxa"/>
          </w:tcPr>
          <w:p w14:paraId="7388C94C" w14:textId="77777777" w:rsidR="00FB0AC2" w:rsidRPr="00847A38" w:rsidRDefault="00FB0AC2" w:rsidP="00197916">
            <w:pPr>
              <w:rPr>
                <w:rFonts w:ascii="Times" w:hAnsi="Times"/>
                <w:lang w:val="en-US"/>
              </w:rPr>
            </w:pPr>
            <w:r w:rsidRPr="00847A38">
              <w:rPr>
                <w:rFonts w:ascii="Times" w:hAnsi="Times"/>
                <w:lang w:val="en-US"/>
              </w:rPr>
              <w:t>All</w:t>
            </w:r>
          </w:p>
        </w:tc>
        <w:tc>
          <w:tcPr>
            <w:tcW w:w="2127" w:type="dxa"/>
          </w:tcPr>
          <w:p w14:paraId="619F65F6" w14:textId="77777777" w:rsidR="00FB0AC2" w:rsidRPr="00847A38" w:rsidRDefault="00FB0AC2" w:rsidP="00197916">
            <w:pPr>
              <w:rPr>
                <w:rFonts w:ascii="Times" w:hAnsi="Times"/>
                <w:lang w:val="en-US"/>
              </w:rPr>
            </w:pPr>
            <w:r w:rsidRPr="00847A38">
              <w:rPr>
                <w:rFonts w:ascii="Times" w:hAnsi="Times"/>
                <w:lang w:val="en-US"/>
              </w:rPr>
              <w:t>677</w:t>
            </w:r>
          </w:p>
        </w:tc>
        <w:tc>
          <w:tcPr>
            <w:tcW w:w="1627" w:type="dxa"/>
          </w:tcPr>
          <w:p w14:paraId="3B178A39" w14:textId="77777777" w:rsidR="00FB0AC2" w:rsidRPr="00847A38" w:rsidRDefault="00FB0AC2" w:rsidP="00197916">
            <w:pPr>
              <w:rPr>
                <w:rFonts w:ascii="Times" w:hAnsi="Times"/>
                <w:lang w:val="en-US"/>
              </w:rPr>
            </w:pPr>
          </w:p>
        </w:tc>
      </w:tr>
      <w:tr w:rsidR="00FB0AC2" w:rsidRPr="00847A38" w14:paraId="235BE862" w14:textId="77777777" w:rsidTr="00197916">
        <w:tc>
          <w:tcPr>
            <w:tcW w:w="1156" w:type="dxa"/>
          </w:tcPr>
          <w:p w14:paraId="5C8F49D9" w14:textId="77777777" w:rsidR="00FB0AC2" w:rsidRPr="00847A38" w:rsidRDefault="00FB0AC2" w:rsidP="00197916">
            <w:pPr>
              <w:rPr>
                <w:rFonts w:ascii="Times" w:hAnsi="Times"/>
                <w:lang w:val="en-US"/>
              </w:rPr>
            </w:pPr>
            <w:r w:rsidRPr="00847A38">
              <w:rPr>
                <w:rFonts w:ascii="Times" w:hAnsi="Times"/>
                <w:lang w:val="en-US"/>
              </w:rPr>
              <w:t>#6</w:t>
            </w:r>
          </w:p>
        </w:tc>
        <w:tc>
          <w:tcPr>
            <w:tcW w:w="4197" w:type="dxa"/>
          </w:tcPr>
          <w:p w14:paraId="0010E8B2" w14:textId="77777777" w:rsidR="00FB0AC2" w:rsidRPr="00847A38" w:rsidRDefault="00FB0AC2" w:rsidP="00197916">
            <w:pPr>
              <w:rPr>
                <w:rFonts w:ascii="Times" w:hAnsi="Times"/>
                <w:lang w:val="en-US"/>
              </w:rPr>
            </w:pPr>
            <w:r w:rsidRPr="00847A38">
              <w:rPr>
                <w:rFonts w:ascii="Times" w:hAnsi="Times"/>
                <w:lang w:val="en-US"/>
              </w:rPr>
              <w:t>Orthognathic Prognosis</w:t>
            </w:r>
          </w:p>
        </w:tc>
        <w:tc>
          <w:tcPr>
            <w:tcW w:w="4394" w:type="dxa"/>
          </w:tcPr>
          <w:p w14:paraId="23BBA67E" w14:textId="77777777" w:rsidR="00FB0AC2" w:rsidRPr="00847A38" w:rsidRDefault="00FB0AC2" w:rsidP="00197916">
            <w:pPr>
              <w:rPr>
                <w:rFonts w:ascii="Times" w:hAnsi="Times"/>
                <w:lang w:val="en-US"/>
              </w:rPr>
            </w:pPr>
            <w:r w:rsidRPr="00847A38">
              <w:rPr>
                <w:rFonts w:ascii="Times" w:hAnsi="Times"/>
                <w:lang w:val="en-US"/>
              </w:rPr>
              <w:t>2000-present</w:t>
            </w:r>
          </w:p>
        </w:tc>
        <w:tc>
          <w:tcPr>
            <w:tcW w:w="2127" w:type="dxa"/>
          </w:tcPr>
          <w:p w14:paraId="70EF0198" w14:textId="77777777" w:rsidR="00FB0AC2" w:rsidRPr="00847A38" w:rsidRDefault="00FB0AC2" w:rsidP="00197916">
            <w:pPr>
              <w:rPr>
                <w:rFonts w:ascii="Times" w:hAnsi="Times"/>
                <w:lang w:val="en-US"/>
              </w:rPr>
            </w:pPr>
            <w:r w:rsidRPr="00847A38">
              <w:rPr>
                <w:rFonts w:ascii="Times" w:hAnsi="Times"/>
                <w:lang w:val="en-US"/>
              </w:rPr>
              <w:t>593</w:t>
            </w:r>
          </w:p>
        </w:tc>
        <w:tc>
          <w:tcPr>
            <w:tcW w:w="1627" w:type="dxa"/>
          </w:tcPr>
          <w:p w14:paraId="1C1D192F" w14:textId="77777777" w:rsidR="00FB0AC2" w:rsidRPr="00847A38" w:rsidRDefault="00FB0AC2" w:rsidP="00197916">
            <w:pPr>
              <w:rPr>
                <w:rFonts w:ascii="Times" w:hAnsi="Times"/>
                <w:lang w:val="en-US"/>
              </w:rPr>
            </w:pPr>
          </w:p>
        </w:tc>
      </w:tr>
      <w:tr w:rsidR="00FB0AC2" w:rsidRPr="00847A38" w14:paraId="2876EBF5" w14:textId="77777777" w:rsidTr="00197916">
        <w:tc>
          <w:tcPr>
            <w:tcW w:w="1156" w:type="dxa"/>
          </w:tcPr>
          <w:p w14:paraId="17EEB5F2" w14:textId="77777777" w:rsidR="00FB0AC2" w:rsidRPr="00847A38" w:rsidRDefault="00FB0AC2" w:rsidP="00197916">
            <w:pPr>
              <w:rPr>
                <w:rFonts w:ascii="Times" w:hAnsi="Times"/>
                <w:lang w:val="en-US"/>
              </w:rPr>
            </w:pPr>
            <w:r w:rsidRPr="00847A38">
              <w:rPr>
                <w:rFonts w:ascii="Times" w:hAnsi="Times"/>
                <w:lang w:val="en-US"/>
              </w:rPr>
              <w:t>#7</w:t>
            </w:r>
          </w:p>
        </w:tc>
        <w:tc>
          <w:tcPr>
            <w:tcW w:w="4197" w:type="dxa"/>
          </w:tcPr>
          <w:p w14:paraId="3BC6BD30" w14:textId="77777777" w:rsidR="00FB0AC2" w:rsidRPr="00847A38" w:rsidRDefault="00FB0AC2" w:rsidP="00197916">
            <w:pPr>
              <w:rPr>
                <w:rFonts w:ascii="Times" w:hAnsi="Times"/>
                <w:lang w:val="en-US"/>
              </w:rPr>
            </w:pPr>
            <w:r w:rsidRPr="00847A38">
              <w:rPr>
                <w:rFonts w:ascii="Times" w:hAnsi="Times"/>
                <w:lang w:val="en-US"/>
              </w:rPr>
              <w:t>Orthognathic Outcome Prognosis</w:t>
            </w:r>
          </w:p>
        </w:tc>
        <w:tc>
          <w:tcPr>
            <w:tcW w:w="4394" w:type="dxa"/>
          </w:tcPr>
          <w:p w14:paraId="52549DB9" w14:textId="77777777" w:rsidR="00FB0AC2" w:rsidRPr="00847A38" w:rsidRDefault="00FB0AC2" w:rsidP="00197916">
            <w:pPr>
              <w:rPr>
                <w:rFonts w:ascii="Times" w:hAnsi="Times"/>
                <w:lang w:val="en-US"/>
              </w:rPr>
            </w:pPr>
            <w:r w:rsidRPr="00847A38">
              <w:rPr>
                <w:rFonts w:ascii="Times" w:hAnsi="Times"/>
                <w:lang w:val="en-US"/>
              </w:rPr>
              <w:t>All</w:t>
            </w:r>
          </w:p>
        </w:tc>
        <w:tc>
          <w:tcPr>
            <w:tcW w:w="2127" w:type="dxa"/>
          </w:tcPr>
          <w:p w14:paraId="1333A065" w14:textId="77777777" w:rsidR="00FB0AC2" w:rsidRPr="00847A38" w:rsidRDefault="00FB0AC2" w:rsidP="00197916">
            <w:pPr>
              <w:rPr>
                <w:rFonts w:ascii="Times" w:hAnsi="Times"/>
                <w:lang w:val="en-US"/>
              </w:rPr>
            </w:pPr>
            <w:r w:rsidRPr="00847A38">
              <w:rPr>
                <w:rFonts w:ascii="Times" w:hAnsi="Times"/>
                <w:lang w:val="en-US"/>
              </w:rPr>
              <w:t>637</w:t>
            </w:r>
          </w:p>
        </w:tc>
        <w:tc>
          <w:tcPr>
            <w:tcW w:w="1627" w:type="dxa"/>
          </w:tcPr>
          <w:p w14:paraId="3E9D0288" w14:textId="77777777" w:rsidR="00FB0AC2" w:rsidRPr="00847A38" w:rsidRDefault="00FB0AC2" w:rsidP="00197916">
            <w:pPr>
              <w:rPr>
                <w:rFonts w:ascii="Times" w:hAnsi="Times"/>
                <w:lang w:val="en-US"/>
              </w:rPr>
            </w:pPr>
          </w:p>
        </w:tc>
      </w:tr>
      <w:tr w:rsidR="00FB0AC2" w:rsidRPr="00847A38" w14:paraId="49AE6886" w14:textId="77777777" w:rsidTr="00197916">
        <w:tc>
          <w:tcPr>
            <w:tcW w:w="1156" w:type="dxa"/>
          </w:tcPr>
          <w:p w14:paraId="7546D398" w14:textId="77777777" w:rsidR="00FB0AC2" w:rsidRPr="00847A38" w:rsidRDefault="00FB0AC2" w:rsidP="00197916">
            <w:pPr>
              <w:rPr>
                <w:rFonts w:ascii="Times" w:hAnsi="Times"/>
                <w:lang w:val="en-US"/>
              </w:rPr>
            </w:pPr>
            <w:r w:rsidRPr="00847A38">
              <w:rPr>
                <w:rFonts w:ascii="Times" w:hAnsi="Times"/>
                <w:lang w:val="en-US"/>
              </w:rPr>
              <w:t>#8</w:t>
            </w:r>
          </w:p>
        </w:tc>
        <w:tc>
          <w:tcPr>
            <w:tcW w:w="4197" w:type="dxa"/>
          </w:tcPr>
          <w:p w14:paraId="393053E6" w14:textId="77777777" w:rsidR="00FB0AC2" w:rsidRPr="00847A38" w:rsidRDefault="00FB0AC2" w:rsidP="00197916">
            <w:pPr>
              <w:rPr>
                <w:rFonts w:ascii="Times" w:hAnsi="Times"/>
                <w:lang w:val="en-US"/>
              </w:rPr>
            </w:pPr>
            <w:r w:rsidRPr="00847A38">
              <w:rPr>
                <w:rFonts w:ascii="Times" w:hAnsi="Times"/>
                <w:lang w:val="en-US"/>
              </w:rPr>
              <w:t>Orthognathic Outcome Prognosis</w:t>
            </w:r>
          </w:p>
        </w:tc>
        <w:tc>
          <w:tcPr>
            <w:tcW w:w="4394" w:type="dxa"/>
          </w:tcPr>
          <w:p w14:paraId="0E0F64C4" w14:textId="77777777" w:rsidR="00FB0AC2" w:rsidRPr="00847A38" w:rsidRDefault="00FB0AC2" w:rsidP="00197916">
            <w:pPr>
              <w:rPr>
                <w:rFonts w:ascii="Times" w:hAnsi="Times"/>
                <w:lang w:val="en-US"/>
              </w:rPr>
            </w:pPr>
            <w:r w:rsidRPr="00847A38">
              <w:rPr>
                <w:rFonts w:ascii="Times" w:hAnsi="Times"/>
                <w:lang w:val="en-US"/>
              </w:rPr>
              <w:t>2000-present</w:t>
            </w:r>
          </w:p>
        </w:tc>
        <w:tc>
          <w:tcPr>
            <w:tcW w:w="2127" w:type="dxa"/>
          </w:tcPr>
          <w:p w14:paraId="7F996E3E" w14:textId="77777777" w:rsidR="00FB0AC2" w:rsidRPr="00847A38" w:rsidRDefault="00FB0AC2" w:rsidP="00197916">
            <w:pPr>
              <w:rPr>
                <w:rFonts w:ascii="Times" w:hAnsi="Times"/>
                <w:lang w:val="en-US"/>
              </w:rPr>
            </w:pPr>
            <w:r w:rsidRPr="00847A38">
              <w:rPr>
                <w:rFonts w:ascii="Times" w:hAnsi="Times"/>
                <w:lang w:val="en-US"/>
              </w:rPr>
              <w:t>571</w:t>
            </w:r>
          </w:p>
        </w:tc>
        <w:tc>
          <w:tcPr>
            <w:tcW w:w="1627" w:type="dxa"/>
          </w:tcPr>
          <w:p w14:paraId="3C2745D2" w14:textId="77777777" w:rsidR="00FB0AC2" w:rsidRPr="00847A38" w:rsidRDefault="00FB0AC2" w:rsidP="00197916">
            <w:pPr>
              <w:rPr>
                <w:rFonts w:ascii="Times" w:hAnsi="Times"/>
                <w:lang w:val="en-US"/>
              </w:rPr>
            </w:pPr>
            <w:r w:rsidRPr="00847A38">
              <w:rPr>
                <w:rFonts w:ascii="Times" w:hAnsi="Times"/>
                <w:lang w:val="en-US"/>
              </w:rPr>
              <w:t>16</w:t>
            </w:r>
          </w:p>
        </w:tc>
      </w:tr>
      <w:tr w:rsidR="00FB0AC2" w:rsidRPr="00847A38" w14:paraId="78609196" w14:textId="77777777" w:rsidTr="00197916">
        <w:tc>
          <w:tcPr>
            <w:tcW w:w="1156" w:type="dxa"/>
            <w:shd w:val="clear" w:color="auto" w:fill="95B3D7" w:themeFill="accent1" w:themeFillTint="99"/>
          </w:tcPr>
          <w:p w14:paraId="42ECB159" w14:textId="77777777" w:rsidR="00FB0AC2" w:rsidRPr="00847A38" w:rsidRDefault="00FB0AC2" w:rsidP="00197916">
            <w:pPr>
              <w:rPr>
                <w:rFonts w:ascii="Times" w:hAnsi="Times"/>
                <w:lang w:val="en-US"/>
              </w:rPr>
            </w:pPr>
            <w:r w:rsidRPr="00847A38">
              <w:rPr>
                <w:rFonts w:ascii="Times" w:hAnsi="Times"/>
                <w:lang w:val="en-US"/>
              </w:rPr>
              <w:t>Total:</w:t>
            </w:r>
          </w:p>
        </w:tc>
        <w:tc>
          <w:tcPr>
            <w:tcW w:w="4197" w:type="dxa"/>
            <w:shd w:val="clear" w:color="auto" w:fill="95B3D7" w:themeFill="accent1" w:themeFillTint="99"/>
          </w:tcPr>
          <w:p w14:paraId="0D5C86EA" w14:textId="77777777" w:rsidR="00FB0AC2" w:rsidRPr="00847A38" w:rsidRDefault="00FB0AC2" w:rsidP="00197916">
            <w:pPr>
              <w:rPr>
                <w:rFonts w:ascii="Times" w:hAnsi="Times"/>
                <w:lang w:val="en-US"/>
              </w:rPr>
            </w:pPr>
          </w:p>
        </w:tc>
        <w:tc>
          <w:tcPr>
            <w:tcW w:w="4394" w:type="dxa"/>
            <w:shd w:val="clear" w:color="auto" w:fill="95B3D7" w:themeFill="accent1" w:themeFillTint="99"/>
          </w:tcPr>
          <w:p w14:paraId="31B081D8" w14:textId="77777777" w:rsidR="00FB0AC2" w:rsidRPr="00847A38" w:rsidRDefault="00FB0AC2" w:rsidP="00197916">
            <w:pPr>
              <w:rPr>
                <w:rFonts w:ascii="Times" w:hAnsi="Times"/>
                <w:lang w:val="en-US"/>
              </w:rPr>
            </w:pPr>
          </w:p>
        </w:tc>
        <w:tc>
          <w:tcPr>
            <w:tcW w:w="2127" w:type="dxa"/>
            <w:shd w:val="clear" w:color="auto" w:fill="95B3D7" w:themeFill="accent1" w:themeFillTint="99"/>
          </w:tcPr>
          <w:p w14:paraId="5B721635" w14:textId="77777777" w:rsidR="00FB0AC2" w:rsidRPr="00847A38" w:rsidRDefault="00FB0AC2" w:rsidP="00197916">
            <w:pPr>
              <w:rPr>
                <w:rFonts w:ascii="Times" w:hAnsi="Times"/>
                <w:lang w:val="en-US"/>
              </w:rPr>
            </w:pPr>
          </w:p>
        </w:tc>
        <w:tc>
          <w:tcPr>
            <w:tcW w:w="1627" w:type="dxa"/>
            <w:shd w:val="clear" w:color="auto" w:fill="95B3D7" w:themeFill="accent1" w:themeFillTint="99"/>
          </w:tcPr>
          <w:p w14:paraId="42CAC7D2" w14:textId="77777777" w:rsidR="00FB0AC2" w:rsidRPr="00847A38" w:rsidRDefault="00FB0AC2" w:rsidP="00197916">
            <w:pPr>
              <w:rPr>
                <w:rFonts w:ascii="Times" w:hAnsi="Times"/>
                <w:lang w:val="en-US"/>
              </w:rPr>
            </w:pPr>
            <w:r w:rsidRPr="00847A38">
              <w:rPr>
                <w:rFonts w:ascii="Times" w:hAnsi="Times"/>
                <w:lang w:val="en-US"/>
              </w:rPr>
              <w:t>16</w:t>
            </w:r>
          </w:p>
        </w:tc>
      </w:tr>
    </w:tbl>
    <w:p w14:paraId="2BBE2094" w14:textId="77777777" w:rsidR="00FB0AC2" w:rsidRPr="00847A38" w:rsidRDefault="00FB0AC2" w:rsidP="00FB0AC2">
      <w:pPr>
        <w:rPr>
          <w:rFonts w:ascii="Times" w:hAnsi="Times"/>
          <w:lang w:val="en-US"/>
        </w:rPr>
      </w:pPr>
    </w:p>
    <w:p w14:paraId="37F4959F" w14:textId="77777777" w:rsidR="00FB0AC2" w:rsidRPr="00847A38" w:rsidRDefault="00FB0AC2" w:rsidP="00FB0AC2">
      <w:pPr>
        <w:rPr>
          <w:rFonts w:ascii="Times" w:hAnsi="Times"/>
          <w:lang w:val="en-US"/>
        </w:rPr>
      </w:pPr>
      <w:r w:rsidRPr="00847A38">
        <w:rPr>
          <w:rFonts w:ascii="Times" w:hAnsi="Times"/>
          <w:lang w:val="en-US"/>
        </w:rPr>
        <w:t>Date for web-based search: 4</w:t>
      </w:r>
      <w:r w:rsidRPr="00847A38">
        <w:rPr>
          <w:rFonts w:ascii="Times" w:hAnsi="Times"/>
          <w:vertAlign w:val="superscript"/>
          <w:lang w:val="en-US"/>
        </w:rPr>
        <w:t>th</w:t>
      </w:r>
      <w:r w:rsidRPr="00847A38">
        <w:rPr>
          <w:rFonts w:ascii="Times" w:hAnsi="Times"/>
          <w:lang w:val="en-US"/>
        </w:rPr>
        <w:t xml:space="preserve"> November 2015.</w:t>
      </w:r>
      <w:r>
        <w:rPr>
          <w:rFonts w:ascii="Times" w:hAnsi="Times"/>
          <w:lang w:val="en-US"/>
        </w:rPr>
        <w:t xml:space="preserve"> </w:t>
      </w:r>
    </w:p>
    <w:p w14:paraId="1135FC84" w14:textId="3AEE2A55" w:rsidR="00A27A27" w:rsidRDefault="00D70881">
      <w:pPr>
        <w:rPr>
          <w:rFonts w:ascii="Times" w:hAnsi="Times"/>
          <w:i/>
          <w:sz w:val="20"/>
          <w:szCs w:val="20"/>
          <w:lang w:val="en-US"/>
        </w:rPr>
      </w:pPr>
      <w:r w:rsidRPr="00847A38">
        <w:rPr>
          <w:rFonts w:ascii="Times" w:hAnsi="Times"/>
          <w:sz w:val="20"/>
          <w:szCs w:val="20"/>
          <w:lang w:val="en-US"/>
        </w:rPr>
        <w:br w:type="column"/>
      </w:r>
      <w:r w:rsidR="000032EF">
        <w:rPr>
          <w:rFonts w:ascii="Times" w:hAnsi="Times"/>
          <w:i/>
          <w:sz w:val="20"/>
          <w:szCs w:val="20"/>
          <w:lang w:val="en-US"/>
        </w:rPr>
        <w:lastRenderedPageBreak/>
        <w:t>Table 2:</w:t>
      </w:r>
      <w:r w:rsidR="008E5D20">
        <w:rPr>
          <w:rFonts w:ascii="Times" w:hAnsi="Times"/>
          <w:i/>
          <w:sz w:val="20"/>
          <w:szCs w:val="20"/>
          <w:lang w:val="en-US"/>
        </w:rPr>
        <w:t xml:space="preserve"> </w:t>
      </w:r>
      <w:r w:rsidR="008E5D20" w:rsidRPr="008E5D20">
        <w:rPr>
          <w:rFonts w:ascii="Times" w:hAnsi="Times"/>
          <w:sz w:val="20"/>
          <w:szCs w:val="20"/>
          <w:lang w:val="en-US"/>
        </w:rPr>
        <w:t>Included studies from web-based search.</w:t>
      </w:r>
    </w:p>
    <w:p w14:paraId="2CE2E81F" w14:textId="77777777" w:rsidR="008E5D20" w:rsidRPr="000032EF" w:rsidRDefault="008E5D20">
      <w:pPr>
        <w:rPr>
          <w:rFonts w:ascii="Times" w:hAnsi="Times"/>
          <w:i/>
          <w:sz w:val="20"/>
          <w:szCs w:val="20"/>
          <w:lang w:val="en-US"/>
        </w:rPr>
      </w:pPr>
    </w:p>
    <w:tbl>
      <w:tblPr>
        <w:tblStyle w:val="Tabelgitter"/>
        <w:tblpPr w:leftFromText="141" w:rightFromText="141" w:vertAnchor="text" w:tblpY="1"/>
        <w:tblOverlap w:val="never"/>
        <w:tblW w:w="13654" w:type="dxa"/>
        <w:tblLook w:val="04A0" w:firstRow="1" w:lastRow="0" w:firstColumn="1" w:lastColumn="0" w:noHBand="0" w:noVBand="1"/>
      </w:tblPr>
      <w:tblGrid>
        <w:gridCol w:w="1606"/>
        <w:gridCol w:w="1096"/>
        <w:gridCol w:w="1309"/>
        <w:gridCol w:w="1559"/>
        <w:gridCol w:w="1639"/>
        <w:gridCol w:w="2151"/>
        <w:gridCol w:w="1427"/>
        <w:gridCol w:w="1281"/>
        <w:gridCol w:w="1586"/>
      </w:tblGrid>
      <w:tr w:rsidR="00866C13" w:rsidRPr="00847A38" w14:paraId="38D4D843" w14:textId="77777777" w:rsidTr="00847A38">
        <w:tc>
          <w:tcPr>
            <w:tcW w:w="0" w:type="auto"/>
            <w:vMerge w:val="restart"/>
            <w:shd w:val="clear" w:color="auto" w:fill="95B3D7" w:themeFill="accent1" w:themeFillTint="99"/>
          </w:tcPr>
          <w:p w14:paraId="0375CC89"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Author:</w:t>
            </w:r>
          </w:p>
        </w:tc>
        <w:tc>
          <w:tcPr>
            <w:tcW w:w="0" w:type="auto"/>
            <w:vMerge w:val="restart"/>
            <w:shd w:val="clear" w:color="auto" w:fill="95B3D7" w:themeFill="accent1" w:themeFillTint="99"/>
          </w:tcPr>
          <w:p w14:paraId="59345D8A"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Country:</w:t>
            </w:r>
          </w:p>
        </w:tc>
        <w:tc>
          <w:tcPr>
            <w:tcW w:w="0" w:type="auto"/>
            <w:vMerge w:val="restart"/>
            <w:shd w:val="clear" w:color="auto" w:fill="95B3D7" w:themeFill="accent1" w:themeFillTint="99"/>
          </w:tcPr>
          <w:p w14:paraId="48F552B2"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Year of publication:</w:t>
            </w:r>
          </w:p>
        </w:tc>
        <w:tc>
          <w:tcPr>
            <w:tcW w:w="0" w:type="auto"/>
            <w:vMerge w:val="restart"/>
            <w:shd w:val="clear" w:color="auto" w:fill="95B3D7" w:themeFill="accent1" w:themeFillTint="99"/>
          </w:tcPr>
          <w:p w14:paraId="06724F29"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Study design:</w:t>
            </w:r>
          </w:p>
        </w:tc>
        <w:tc>
          <w:tcPr>
            <w:tcW w:w="0" w:type="auto"/>
            <w:vMerge w:val="restart"/>
            <w:shd w:val="clear" w:color="auto" w:fill="95B3D7" w:themeFill="accent1" w:themeFillTint="99"/>
          </w:tcPr>
          <w:p w14:paraId="6A5378DC"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Study group (W/M):</w:t>
            </w:r>
          </w:p>
        </w:tc>
        <w:tc>
          <w:tcPr>
            <w:tcW w:w="0" w:type="auto"/>
            <w:gridSpan w:val="3"/>
            <w:shd w:val="clear" w:color="auto" w:fill="95B3D7" w:themeFill="accent1" w:themeFillTint="99"/>
          </w:tcPr>
          <w:p w14:paraId="6E5C3FF5"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Aim of study:</w:t>
            </w:r>
          </w:p>
          <w:p w14:paraId="29CC8431" w14:textId="640E8141" w:rsidR="00866C13" w:rsidRPr="00847A38" w:rsidRDefault="00866C13" w:rsidP="00847A38">
            <w:pPr>
              <w:rPr>
                <w:rFonts w:ascii="Times" w:hAnsi="Times"/>
                <w:sz w:val="20"/>
                <w:szCs w:val="20"/>
                <w:lang w:val="en-US"/>
              </w:rPr>
            </w:pPr>
            <w:r w:rsidRPr="00847A38">
              <w:rPr>
                <w:rFonts w:ascii="Times" w:hAnsi="Times"/>
                <w:sz w:val="20"/>
                <w:szCs w:val="20"/>
                <w:lang w:val="en-US"/>
              </w:rPr>
              <w:t>Methods/measurements:</w:t>
            </w:r>
          </w:p>
        </w:tc>
        <w:tc>
          <w:tcPr>
            <w:tcW w:w="0" w:type="auto"/>
            <w:vMerge w:val="restart"/>
            <w:shd w:val="clear" w:color="auto" w:fill="95B3D7" w:themeFill="accent1" w:themeFillTint="99"/>
          </w:tcPr>
          <w:p w14:paraId="25F811F0"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Observation period (time after OS):</w:t>
            </w:r>
          </w:p>
        </w:tc>
      </w:tr>
      <w:tr w:rsidR="00866C13" w:rsidRPr="00847A38" w14:paraId="0130E59E" w14:textId="77777777" w:rsidTr="00847A38">
        <w:tc>
          <w:tcPr>
            <w:tcW w:w="0" w:type="auto"/>
            <w:vMerge/>
            <w:shd w:val="clear" w:color="auto" w:fill="95B3D7" w:themeFill="accent1" w:themeFillTint="99"/>
          </w:tcPr>
          <w:p w14:paraId="58796565" w14:textId="77777777" w:rsidR="00866C13" w:rsidRPr="00847A38" w:rsidRDefault="00866C13" w:rsidP="00847A38">
            <w:pPr>
              <w:rPr>
                <w:rFonts w:ascii="Times" w:hAnsi="Times"/>
                <w:sz w:val="20"/>
                <w:szCs w:val="20"/>
                <w:lang w:val="en-US"/>
              </w:rPr>
            </w:pPr>
          </w:p>
        </w:tc>
        <w:tc>
          <w:tcPr>
            <w:tcW w:w="0" w:type="auto"/>
            <w:vMerge/>
            <w:shd w:val="clear" w:color="auto" w:fill="95B3D7" w:themeFill="accent1" w:themeFillTint="99"/>
          </w:tcPr>
          <w:p w14:paraId="4433B27A" w14:textId="77777777" w:rsidR="00866C13" w:rsidRPr="00847A38" w:rsidRDefault="00866C13" w:rsidP="00847A38">
            <w:pPr>
              <w:rPr>
                <w:rFonts w:ascii="Times" w:hAnsi="Times"/>
                <w:sz w:val="20"/>
                <w:szCs w:val="20"/>
                <w:lang w:val="en-US"/>
              </w:rPr>
            </w:pPr>
          </w:p>
        </w:tc>
        <w:tc>
          <w:tcPr>
            <w:tcW w:w="0" w:type="auto"/>
            <w:vMerge/>
            <w:shd w:val="clear" w:color="auto" w:fill="95B3D7" w:themeFill="accent1" w:themeFillTint="99"/>
          </w:tcPr>
          <w:p w14:paraId="0E52C38C" w14:textId="77777777" w:rsidR="00866C13" w:rsidRPr="00847A38" w:rsidRDefault="00866C13" w:rsidP="00847A38">
            <w:pPr>
              <w:rPr>
                <w:rFonts w:ascii="Times" w:hAnsi="Times"/>
                <w:sz w:val="20"/>
                <w:szCs w:val="20"/>
                <w:lang w:val="en-US"/>
              </w:rPr>
            </w:pPr>
          </w:p>
        </w:tc>
        <w:tc>
          <w:tcPr>
            <w:tcW w:w="0" w:type="auto"/>
            <w:vMerge/>
            <w:shd w:val="clear" w:color="auto" w:fill="95B3D7" w:themeFill="accent1" w:themeFillTint="99"/>
          </w:tcPr>
          <w:p w14:paraId="18248171" w14:textId="77777777" w:rsidR="00866C13" w:rsidRPr="00847A38" w:rsidRDefault="00866C13" w:rsidP="00847A38">
            <w:pPr>
              <w:rPr>
                <w:rFonts w:ascii="Times" w:hAnsi="Times"/>
                <w:sz w:val="20"/>
                <w:szCs w:val="20"/>
                <w:lang w:val="en-US"/>
              </w:rPr>
            </w:pPr>
          </w:p>
        </w:tc>
        <w:tc>
          <w:tcPr>
            <w:tcW w:w="0" w:type="auto"/>
            <w:vMerge/>
            <w:shd w:val="clear" w:color="auto" w:fill="95B3D7" w:themeFill="accent1" w:themeFillTint="99"/>
          </w:tcPr>
          <w:p w14:paraId="4B868CA3" w14:textId="77777777" w:rsidR="00866C13" w:rsidRPr="00847A38" w:rsidRDefault="00866C13" w:rsidP="00847A38">
            <w:pPr>
              <w:rPr>
                <w:rFonts w:ascii="Times" w:hAnsi="Times"/>
                <w:sz w:val="20"/>
                <w:szCs w:val="20"/>
                <w:lang w:val="en-US"/>
              </w:rPr>
            </w:pPr>
          </w:p>
        </w:tc>
        <w:tc>
          <w:tcPr>
            <w:tcW w:w="2151" w:type="dxa"/>
            <w:shd w:val="clear" w:color="auto" w:fill="95B3D7" w:themeFill="accent1" w:themeFillTint="99"/>
          </w:tcPr>
          <w:p w14:paraId="03CE3916" w14:textId="77777777" w:rsidR="00866C13" w:rsidRPr="00847A38" w:rsidRDefault="00866C13" w:rsidP="00847A38">
            <w:pPr>
              <w:rPr>
                <w:rFonts w:ascii="Times" w:hAnsi="Times"/>
                <w:sz w:val="20"/>
                <w:szCs w:val="20"/>
                <w:lang w:val="en-US"/>
              </w:rPr>
            </w:pPr>
          </w:p>
        </w:tc>
        <w:tc>
          <w:tcPr>
            <w:tcW w:w="1427" w:type="dxa"/>
            <w:shd w:val="clear" w:color="auto" w:fill="95B3D7" w:themeFill="accent1" w:themeFillTint="99"/>
          </w:tcPr>
          <w:p w14:paraId="1970BBBD"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Questionnaire</w:t>
            </w:r>
          </w:p>
        </w:tc>
        <w:tc>
          <w:tcPr>
            <w:tcW w:w="1281" w:type="dxa"/>
            <w:shd w:val="clear" w:color="auto" w:fill="95B3D7" w:themeFill="accent1" w:themeFillTint="99"/>
          </w:tcPr>
          <w:p w14:paraId="14DF04B9"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Clinical examination</w:t>
            </w:r>
          </w:p>
        </w:tc>
        <w:tc>
          <w:tcPr>
            <w:tcW w:w="0" w:type="auto"/>
            <w:vMerge/>
            <w:shd w:val="clear" w:color="auto" w:fill="95B3D7" w:themeFill="accent1" w:themeFillTint="99"/>
          </w:tcPr>
          <w:p w14:paraId="4AC4F67D" w14:textId="77777777" w:rsidR="00866C13" w:rsidRPr="00847A38" w:rsidRDefault="00866C13" w:rsidP="00847A38">
            <w:pPr>
              <w:rPr>
                <w:rFonts w:ascii="Times" w:hAnsi="Times"/>
                <w:sz w:val="20"/>
                <w:szCs w:val="20"/>
                <w:lang w:val="en-US"/>
              </w:rPr>
            </w:pPr>
          </w:p>
        </w:tc>
      </w:tr>
      <w:tr w:rsidR="00866C13" w:rsidRPr="00847A38" w14:paraId="582DD670" w14:textId="77777777" w:rsidTr="00847A38">
        <w:tc>
          <w:tcPr>
            <w:tcW w:w="0" w:type="auto"/>
          </w:tcPr>
          <w:p w14:paraId="4BE58775" w14:textId="7B79C1A3" w:rsidR="00866C13" w:rsidRPr="00847A38" w:rsidRDefault="00866C13" w:rsidP="00847A38">
            <w:pPr>
              <w:rPr>
                <w:rFonts w:ascii="Times" w:hAnsi="Times"/>
                <w:sz w:val="20"/>
                <w:szCs w:val="20"/>
                <w:lang w:val="en-US"/>
              </w:rPr>
            </w:pPr>
            <w:r w:rsidRPr="00847A38">
              <w:rPr>
                <w:rFonts w:ascii="Times" w:hAnsi="Times"/>
                <w:sz w:val="20"/>
                <w:szCs w:val="20"/>
                <w:lang w:val="en-US"/>
              </w:rPr>
              <w:t>Panula et al.</w:t>
            </w:r>
            <w:r w:rsidRPr="00847A38">
              <w:rPr>
                <w:rFonts w:ascii="Times" w:hAnsi="Times"/>
                <w:sz w:val="20"/>
                <w:szCs w:val="20"/>
                <w:lang w:val="en-US"/>
              </w:rPr>
              <w:fldChar w:fldCharType="begin" w:fldLock="1"/>
            </w:r>
            <w:r w:rsidR="00847A38" w:rsidRPr="00847A38">
              <w:rPr>
                <w:rFonts w:ascii="Times" w:hAnsi="Times"/>
                <w:sz w:val="20"/>
                <w:szCs w:val="20"/>
                <w:lang w:val="en-US"/>
              </w:rPr>
              <w:instrText>ADDIN CSL_CITATION { "citationItems" : [ { "id" : "ITEM-1", "itemData" : { "DOI" : "10.1016/S0901-5027(00)80089-2", "ISBN" : "0901-5027 (Print)\\n0901-5027 (Linking)", "ISSN" : "0901-5027", "PMID" : "10970079", "abstract" : "A prospective follow-up study was performed to examine the influence of contemporary orthognathic treatment on signs and symptoms of TMJ dysfunction. Sixty consecutive patients were examined once preoperatively and twice postoperatively, and Helkimo's Anamnestic and Dysfunction Indices (Ai and Di) were determined. The prevalence of headache was also assessed. The average follow-up was 4 years from the initial examination. A group of 20 patients with a similar type and grade of dentofacial deformity, who did not wish to have surgery or other occlusal therapy, served as a control group. The majority (73.3%) of the patients had signs and symptoms of TMJ dysfunction (TMD) in the initial phase. At final examination the prevalence of TMD had been reduced to 60% (P=0.013). There was a dramatic improvement in headache: initially 38 (63%) patients reported that they suffered from headache, but at the final visit only 15 (25%) did so. It is concluded that functional status can be significantly improved and pain levels reduced with orthognathic treatment. The risk for new TMD is extremely low. No association, however, could be shown between TMD and the specific type or magnitude of dentofacial deformity.", "author" : [ { "dropping-particle" : "", "family" : "Panula", "given" : "K", "non-dropping-particle" : "", "parse-names" : false, "suffix" : "" }, { "dropping-particle" : "", "family" : "Somppi", "given" : "M", "non-dropping-particle" : "", "parse-names" : false, "suffix" : "" }, { "dropping-particle" : "", "family" : "Finne", "given" : "K", "non-dropping-particle" : "", "parse-names" : false, "suffix" : "" }, { "dropping-particle" : "", "family" : "Oikarinen", "given" : "K", "non-dropping-particle" : "", "parse-names" : false, "suffix" : "" } ], "container-title" : "Int J Oral Maxillofac Surg", "id" : "ITEM-1", "issue" : "3", "issued" : { "date-parts" : [ [ "2000" ] ] }, "note" : "Pros.\n\nEffekt p\u00e5 TMJ og tyggefunktion.", "page" : "183-187", "title" : "Effects of orthognathic surgery on temporomandibular joint dysfunction. A controlled prospective 4-year follow-up study", "type" : "article-journal", "volume" : "29" }, "uris" : [ "http://www.mendeley.com/documents/?uuid=e1509c03-4040-4253-8884-f4d3e6744a25" ] } ], "mendeley" : { "formattedCitation" : "[1]", "plainTextFormattedCitation" : "[1]", "previouslyFormattedCitation" : "[1]" }, "properties" : { "noteIndex" : 0 }, "schema" : "https://github.com/citation-style-language/schema/raw/master/csl-citation.json" }</w:instrText>
            </w:r>
            <w:r w:rsidRPr="00847A38">
              <w:rPr>
                <w:rFonts w:ascii="Times" w:hAnsi="Times"/>
                <w:sz w:val="20"/>
                <w:szCs w:val="20"/>
                <w:lang w:val="en-US"/>
              </w:rPr>
              <w:fldChar w:fldCharType="separate"/>
            </w:r>
            <w:r w:rsidR="00847A38" w:rsidRPr="00847A38">
              <w:rPr>
                <w:rFonts w:ascii="Times" w:hAnsi="Times"/>
                <w:noProof/>
                <w:sz w:val="20"/>
                <w:szCs w:val="20"/>
                <w:lang w:val="en-US"/>
              </w:rPr>
              <w:t>[1]</w:t>
            </w:r>
            <w:r w:rsidRPr="00847A38">
              <w:rPr>
                <w:rFonts w:ascii="Times" w:hAnsi="Times"/>
                <w:sz w:val="20"/>
                <w:szCs w:val="20"/>
                <w:lang w:val="en-US"/>
              </w:rPr>
              <w:fldChar w:fldCharType="end"/>
            </w:r>
          </w:p>
        </w:tc>
        <w:tc>
          <w:tcPr>
            <w:tcW w:w="0" w:type="auto"/>
          </w:tcPr>
          <w:p w14:paraId="3F8A8206"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Finland</w:t>
            </w:r>
          </w:p>
        </w:tc>
        <w:tc>
          <w:tcPr>
            <w:tcW w:w="0" w:type="auto"/>
          </w:tcPr>
          <w:p w14:paraId="3FAB0269"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2000</w:t>
            </w:r>
          </w:p>
        </w:tc>
        <w:tc>
          <w:tcPr>
            <w:tcW w:w="0" w:type="auto"/>
          </w:tcPr>
          <w:p w14:paraId="1E885502"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Prospective</w:t>
            </w:r>
          </w:p>
          <w:p w14:paraId="6F31DF8D"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Case-control</w:t>
            </w:r>
          </w:p>
        </w:tc>
        <w:tc>
          <w:tcPr>
            <w:tcW w:w="0" w:type="auto"/>
          </w:tcPr>
          <w:p w14:paraId="675A1C68"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60 (49W/11M)</w:t>
            </w:r>
          </w:p>
          <w:p w14:paraId="0700A91C"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(Control group: 20)</w:t>
            </w:r>
          </w:p>
        </w:tc>
        <w:tc>
          <w:tcPr>
            <w:tcW w:w="2151" w:type="dxa"/>
          </w:tcPr>
          <w:p w14:paraId="3F645D28" w14:textId="67D195AD" w:rsidR="00866C13" w:rsidRPr="00847A38" w:rsidRDefault="00866C13" w:rsidP="00847A38">
            <w:pPr>
              <w:rPr>
                <w:rFonts w:ascii="Times" w:hAnsi="Times"/>
                <w:sz w:val="20"/>
                <w:szCs w:val="20"/>
                <w:lang w:val="en-US"/>
              </w:rPr>
            </w:pPr>
            <w:r w:rsidRPr="00847A38">
              <w:rPr>
                <w:rFonts w:ascii="Times" w:hAnsi="Times"/>
                <w:sz w:val="20"/>
                <w:szCs w:val="20"/>
                <w:lang w:val="en-US"/>
              </w:rPr>
              <w:t>Outcome. Effect on TMJ dysfunction</w:t>
            </w:r>
          </w:p>
        </w:tc>
        <w:tc>
          <w:tcPr>
            <w:tcW w:w="1427" w:type="dxa"/>
          </w:tcPr>
          <w:p w14:paraId="08569409"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X</w:t>
            </w:r>
          </w:p>
        </w:tc>
        <w:tc>
          <w:tcPr>
            <w:tcW w:w="1281" w:type="dxa"/>
          </w:tcPr>
          <w:p w14:paraId="7C79E233"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X</w:t>
            </w:r>
          </w:p>
        </w:tc>
        <w:tc>
          <w:tcPr>
            <w:tcW w:w="0" w:type="auto"/>
          </w:tcPr>
          <w:p w14:paraId="6AE7C2EC"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20-44 months</w:t>
            </w:r>
          </w:p>
        </w:tc>
      </w:tr>
      <w:tr w:rsidR="00866C13" w:rsidRPr="00847A38" w14:paraId="2320A34C" w14:textId="77777777" w:rsidTr="00847A38">
        <w:tc>
          <w:tcPr>
            <w:tcW w:w="0" w:type="auto"/>
          </w:tcPr>
          <w:p w14:paraId="71886685" w14:textId="4E4FBB91" w:rsidR="00866C13" w:rsidRPr="00847A38" w:rsidRDefault="00866C13" w:rsidP="00847A38">
            <w:pPr>
              <w:rPr>
                <w:rFonts w:ascii="Times" w:hAnsi="Times"/>
                <w:sz w:val="20"/>
                <w:szCs w:val="20"/>
                <w:lang w:val="en-US"/>
              </w:rPr>
            </w:pPr>
            <w:r w:rsidRPr="00847A38">
              <w:rPr>
                <w:rFonts w:ascii="Times" w:hAnsi="Times"/>
                <w:sz w:val="20"/>
                <w:szCs w:val="20"/>
                <w:lang w:val="en-US"/>
              </w:rPr>
              <w:t>Throckmorton et al.</w:t>
            </w:r>
            <w:r w:rsidRPr="00847A38">
              <w:rPr>
                <w:rFonts w:ascii="Times" w:hAnsi="Times"/>
                <w:sz w:val="20"/>
                <w:szCs w:val="20"/>
                <w:lang w:val="en-US"/>
              </w:rPr>
              <w:fldChar w:fldCharType="begin" w:fldLock="1"/>
            </w:r>
            <w:r w:rsidR="00847A38" w:rsidRPr="00847A38">
              <w:rPr>
                <w:rFonts w:ascii="Times" w:hAnsi="Times"/>
                <w:sz w:val="20"/>
                <w:szCs w:val="20"/>
                <w:lang w:val="en-US"/>
              </w:rPr>
              <w:instrText>ADDIN CSL_CITATION { "citationItems" : [ { "id" : "ITEM-1", "itemData" : { "DOI" : "10.1053/joms.2001.23373", "ISSN" : "0278-2391", "PMID" : "11381382", "abstract" : "PURPOSE: This study determined whether patients with greater surgical changes, and presumably greater normalization of their skeletal morphology, showed greater increases in their maximum voluntary bite forces after orthognathic surgery.\n\nPATIENTS AND METHODS: A total of 104 adult patients (32 males and 72 females) treated with 1 of 8 different orthognathic surgical procedures were examined. Patients' presurgical and postsurgical morphologic and biomechanical measurements were taken from lateral cephalograms. Measurements known to be related to maximum bite force were used in the analysis. Patients' presurgical and postsurgical maximum bite forces were measured at 8 tooth positions (ie, right and left incisors, canines, premolars and molars).\n\nRESULTS: Presurgical and postsurgical morphology and biomechanics variables were strongly correlated with each other, suggesting that orthognathic surgery produced relatively little change in patients' overall craniofacial form. Maximum voluntary bite forces were primarily correlated with variables relating to jaw size-both before and after surgery. No correlations were noted between the increases in maximum voluntary bite forces and surgically produced changes in skeletal morphology and the biomechanics variables.\n\nCONCLUSIONS: Factors other than surgically produced changes in skeletal morphology are responsible for increases in maximum voluntary bite force after orthognathic surgery.", "author" : [ { "dropping-particle" : "", "family" : "Throckmorton", "given" : "G S", "non-dropping-particle" : "", "parse-names" : false, "suffix" : "" }, { "dropping-particle" : "", "family" : "Ellis", "given" : "E", "non-dropping-particle" : "", "parse-names" : false, "suffix" : "" } ], "container-title" : "Journal of oral and maxillofacial surgery : official journal of the American Association of Oral and Maxillofacial Surgeons", "id" : "ITEM-1", "issue" : "6", "issued" : { "date-parts" : [ [ "2001", "6" ] ] }, "note" : "Pros.\nOutcome. Effekt p\u00e5 tyggekraften.", "page" : "620-7", "title" : "The relationship between surgical changes in dentofacial morphology and changes in maximum bite force.", "type" : "article-journal", "volume" : "59" }, "uris" : [ "http://www.mendeley.com/documents/?uuid=cc7ac8ea-6aa7-4fb2-9553-2c61eca01d79" ] } ], "mendeley" : { "formattedCitation" : "[2]", "plainTextFormattedCitation" : "[2]", "previouslyFormattedCitation" : "[2]" }, "properties" : { "noteIndex" : 0 }, "schema" : "https://github.com/citation-style-language/schema/raw/master/csl-citation.json" }</w:instrText>
            </w:r>
            <w:r w:rsidRPr="00847A38">
              <w:rPr>
                <w:rFonts w:ascii="Times" w:hAnsi="Times"/>
                <w:sz w:val="20"/>
                <w:szCs w:val="20"/>
                <w:lang w:val="en-US"/>
              </w:rPr>
              <w:fldChar w:fldCharType="separate"/>
            </w:r>
            <w:r w:rsidR="00847A38" w:rsidRPr="00847A38">
              <w:rPr>
                <w:rFonts w:ascii="Times" w:hAnsi="Times"/>
                <w:noProof/>
                <w:sz w:val="20"/>
                <w:szCs w:val="20"/>
                <w:lang w:val="en-US"/>
              </w:rPr>
              <w:t>[2]</w:t>
            </w:r>
            <w:r w:rsidRPr="00847A38">
              <w:rPr>
                <w:rFonts w:ascii="Times" w:hAnsi="Times"/>
                <w:sz w:val="20"/>
                <w:szCs w:val="20"/>
                <w:lang w:val="en-US"/>
              </w:rPr>
              <w:fldChar w:fldCharType="end"/>
            </w:r>
          </w:p>
        </w:tc>
        <w:tc>
          <w:tcPr>
            <w:tcW w:w="0" w:type="auto"/>
          </w:tcPr>
          <w:p w14:paraId="18D1E25F"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United States</w:t>
            </w:r>
          </w:p>
        </w:tc>
        <w:tc>
          <w:tcPr>
            <w:tcW w:w="0" w:type="auto"/>
          </w:tcPr>
          <w:p w14:paraId="46E61946"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2001</w:t>
            </w:r>
          </w:p>
        </w:tc>
        <w:tc>
          <w:tcPr>
            <w:tcW w:w="0" w:type="auto"/>
          </w:tcPr>
          <w:p w14:paraId="04646634"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Prospective</w:t>
            </w:r>
          </w:p>
        </w:tc>
        <w:tc>
          <w:tcPr>
            <w:tcW w:w="0" w:type="auto"/>
          </w:tcPr>
          <w:p w14:paraId="1AB18F37"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104 (72W/32M)</w:t>
            </w:r>
          </w:p>
          <w:p w14:paraId="28CFFEE8" w14:textId="77777777" w:rsidR="00866C13" w:rsidRPr="00847A38" w:rsidRDefault="00866C13" w:rsidP="00847A38">
            <w:pPr>
              <w:rPr>
                <w:rFonts w:ascii="Times" w:hAnsi="Times"/>
                <w:sz w:val="20"/>
                <w:szCs w:val="20"/>
                <w:lang w:val="en-US"/>
              </w:rPr>
            </w:pPr>
          </w:p>
        </w:tc>
        <w:tc>
          <w:tcPr>
            <w:tcW w:w="2151" w:type="dxa"/>
          </w:tcPr>
          <w:p w14:paraId="4E72E086"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Outcome. Effect on bite force</w:t>
            </w:r>
          </w:p>
        </w:tc>
        <w:tc>
          <w:tcPr>
            <w:tcW w:w="1427" w:type="dxa"/>
          </w:tcPr>
          <w:p w14:paraId="281C5125" w14:textId="77777777" w:rsidR="00866C13" w:rsidRPr="00847A38" w:rsidRDefault="00866C13" w:rsidP="00847A38">
            <w:pPr>
              <w:rPr>
                <w:rFonts w:ascii="Times" w:hAnsi="Times"/>
                <w:sz w:val="20"/>
                <w:szCs w:val="20"/>
                <w:lang w:val="en-US"/>
              </w:rPr>
            </w:pPr>
          </w:p>
        </w:tc>
        <w:tc>
          <w:tcPr>
            <w:tcW w:w="1281" w:type="dxa"/>
          </w:tcPr>
          <w:p w14:paraId="6161B176"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Bite force tranducer. X-rays</w:t>
            </w:r>
          </w:p>
        </w:tc>
        <w:tc>
          <w:tcPr>
            <w:tcW w:w="0" w:type="auto"/>
          </w:tcPr>
          <w:p w14:paraId="7BE1DE78"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 xml:space="preserve">36 months </w:t>
            </w:r>
          </w:p>
        </w:tc>
      </w:tr>
      <w:tr w:rsidR="00866C13" w:rsidRPr="00847A38" w14:paraId="2D07FB10" w14:textId="77777777" w:rsidTr="00847A38">
        <w:tc>
          <w:tcPr>
            <w:tcW w:w="0" w:type="auto"/>
          </w:tcPr>
          <w:p w14:paraId="36255E45" w14:textId="56BF9477" w:rsidR="00866C13" w:rsidRPr="00847A38" w:rsidRDefault="00866C13" w:rsidP="00847A38">
            <w:pPr>
              <w:rPr>
                <w:rFonts w:ascii="Times" w:hAnsi="Times"/>
                <w:sz w:val="20"/>
                <w:szCs w:val="20"/>
                <w:lang w:val="en-US"/>
              </w:rPr>
            </w:pPr>
            <w:r w:rsidRPr="00847A38">
              <w:rPr>
                <w:rFonts w:ascii="Times" w:hAnsi="Times"/>
                <w:sz w:val="20"/>
                <w:szCs w:val="20"/>
                <w:lang w:val="en-US"/>
              </w:rPr>
              <w:t>Kobayashi et al.</w:t>
            </w:r>
            <w:r w:rsidRPr="00847A38">
              <w:rPr>
                <w:rFonts w:ascii="Times" w:hAnsi="Times"/>
                <w:sz w:val="20"/>
                <w:szCs w:val="20"/>
                <w:lang w:val="en-US"/>
              </w:rPr>
              <w:fldChar w:fldCharType="begin" w:fldLock="1"/>
            </w:r>
            <w:r w:rsidR="00847A38" w:rsidRPr="00847A38">
              <w:rPr>
                <w:rFonts w:ascii="Times" w:hAnsi="Times"/>
                <w:sz w:val="20"/>
                <w:szCs w:val="20"/>
                <w:lang w:val="en-US"/>
              </w:rPr>
              <w:instrText>ADDIN CSL_CITATION { "citationItems" : [ { "id" : "ITEM-1", "itemData" : { "DOI" : "10.1054/bjom.2000.0576", "ISSN" : "02664356", "author" : [ { "dropping-particle" : "", "family" : "Kobayashi", "given" : "T.", "non-dropping-particle" : "", "parse-names" : false, "suffix" : "" }, { "dropping-particle" : "", "family" : "Honma", "given" : "K.", "non-dropping-particle" : "", "parse-names" : false, "suffix" : "" }, { "dropping-particle" : "", "family" : "Shingaki", "given" : "S.", "non-dropping-particle" : "", "parse-names" : false, "suffix" : "" }, { "dropping-particle" : "", "family" : "Nakajima", "given" : "T.", "non-dropping-particle" : "", "parse-names" : false, "suffix" : "" } ], "container-title" : "British Journal of Oral and Maxillofacial Surgery", "id" : "ITEM-1", "issue" : "4", "issued" : { "date-parts" : [ [ "2001" ] ] }, "note" : "Pros.\nOutcome. Effekt p\u00e5 mastikatorisk effektivitet", "page" : "260-265", "title" : "Changes in masticatory function after orthognathic treatment in patients with mandibular prognathism", "type" : "article-journal", "volume" : "39" }, "uris" : [ "http://www.mendeley.com/documents/?uuid=483f7af1-0906-44d1-a22f-f952aa4c6523" ] } ], "mendeley" : { "formattedCitation" : "[3]", "plainTextFormattedCitation" : "[3]", "previouslyFormattedCitation" : "[3]" }, "properties" : { "noteIndex" : 0 }, "schema" : "https://github.com/citation-style-language/schema/raw/master/csl-citation.json" }</w:instrText>
            </w:r>
            <w:r w:rsidRPr="00847A38">
              <w:rPr>
                <w:rFonts w:ascii="Times" w:hAnsi="Times"/>
                <w:sz w:val="20"/>
                <w:szCs w:val="20"/>
                <w:lang w:val="en-US"/>
              </w:rPr>
              <w:fldChar w:fldCharType="separate"/>
            </w:r>
            <w:r w:rsidR="00847A38" w:rsidRPr="00847A38">
              <w:rPr>
                <w:rFonts w:ascii="Times" w:hAnsi="Times"/>
                <w:noProof/>
                <w:sz w:val="20"/>
                <w:szCs w:val="20"/>
                <w:lang w:val="en-US"/>
              </w:rPr>
              <w:t>[3]</w:t>
            </w:r>
            <w:r w:rsidRPr="00847A38">
              <w:rPr>
                <w:rFonts w:ascii="Times" w:hAnsi="Times"/>
                <w:sz w:val="20"/>
                <w:szCs w:val="20"/>
                <w:lang w:val="en-US"/>
              </w:rPr>
              <w:fldChar w:fldCharType="end"/>
            </w:r>
          </w:p>
        </w:tc>
        <w:tc>
          <w:tcPr>
            <w:tcW w:w="0" w:type="auto"/>
          </w:tcPr>
          <w:p w14:paraId="529E57BB"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Japan</w:t>
            </w:r>
          </w:p>
        </w:tc>
        <w:tc>
          <w:tcPr>
            <w:tcW w:w="0" w:type="auto"/>
          </w:tcPr>
          <w:p w14:paraId="1F987288"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2001</w:t>
            </w:r>
          </w:p>
        </w:tc>
        <w:tc>
          <w:tcPr>
            <w:tcW w:w="0" w:type="auto"/>
          </w:tcPr>
          <w:p w14:paraId="366E9DD4"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Prospective</w:t>
            </w:r>
          </w:p>
          <w:p w14:paraId="4CA9A05D"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Case-control</w:t>
            </w:r>
          </w:p>
        </w:tc>
        <w:tc>
          <w:tcPr>
            <w:tcW w:w="0" w:type="auto"/>
          </w:tcPr>
          <w:p w14:paraId="2279DB2A"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27 (20W/7M)</w:t>
            </w:r>
          </w:p>
          <w:p w14:paraId="37D9A9C2"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Control group: 40 (16W/24M)</w:t>
            </w:r>
          </w:p>
        </w:tc>
        <w:tc>
          <w:tcPr>
            <w:tcW w:w="2151" w:type="dxa"/>
          </w:tcPr>
          <w:p w14:paraId="3452469A" w14:textId="4E63DAE6" w:rsidR="00866C13" w:rsidRPr="00847A38" w:rsidRDefault="00866C13" w:rsidP="00847A38">
            <w:pPr>
              <w:rPr>
                <w:rFonts w:ascii="Times" w:hAnsi="Times"/>
                <w:sz w:val="20"/>
                <w:szCs w:val="20"/>
                <w:lang w:val="en-US"/>
              </w:rPr>
            </w:pPr>
            <w:r w:rsidRPr="00847A38">
              <w:rPr>
                <w:rFonts w:ascii="Times" w:hAnsi="Times"/>
                <w:sz w:val="20"/>
                <w:szCs w:val="20"/>
                <w:lang w:val="en-US"/>
              </w:rPr>
              <w:t>Outcome. Effect on masticatory efficiency</w:t>
            </w:r>
          </w:p>
        </w:tc>
        <w:tc>
          <w:tcPr>
            <w:tcW w:w="1427" w:type="dxa"/>
          </w:tcPr>
          <w:p w14:paraId="536B5497" w14:textId="77777777" w:rsidR="00866C13" w:rsidRPr="00847A38" w:rsidRDefault="00866C13" w:rsidP="00847A38">
            <w:pPr>
              <w:rPr>
                <w:rFonts w:ascii="Times" w:hAnsi="Times"/>
                <w:sz w:val="20"/>
                <w:szCs w:val="20"/>
                <w:lang w:val="en-US"/>
              </w:rPr>
            </w:pPr>
          </w:p>
        </w:tc>
        <w:tc>
          <w:tcPr>
            <w:tcW w:w="1281" w:type="dxa"/>
          </w:tcPr>
          <w:p w14:paraId="57990C1B"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X</w:t>
            </w:r>
          </w:p>
        </w:tc>
        <w:tc>
          <w:tcPr>
            <w:tcW w:w="0" w:type="auto"/>
          </w:tcPr>
          <w:p w14:paraId="25724D30"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24 months</w:t>
            </w:r>
          </w:p>
        </w:tc>
      </w:tr>
      <w:tr w:rsidR="00866C13" w:rsidRPr="00847A38" w14:paraId="6678AD33" w14:textId="77777777" w:rsidTr="00847A38">
        <w:tc>
          <w:tcPr>
            <w:tcW w:w="0" w:type="auto"/>
          </w:tcPr>
          <w:p w14:paraId="26375960" w14:textId="201B6A1C" w:rsidR="00866C13" w:rsidRPr="00847A38" w:rsidRDefault="00866C13" w:rsidP="00847A38">
            <w:pPr>
              <w:rPr>
                <w:rFonts w:ascii="Times" w:hAnsi="Times"/>
                <w:sz w:val="20"/>
                <w:szCs w:val="20"/>
                <w:lang w:val="en-US"/>
              </w:rPr>
            </w:pPr>
            <w:r w:rsidRPr="00847A38">
              <w:rPr>
                <w:rFonts w:ascii="Times" w:hAnsi="Times"/>
                <w:sz w:val="20"/>
                <w:szCs w:val="20"/>
                <w:lang w:val="en-US"/>
              </w:rPr>
              <w:t>Harada et al.</w:t>
            </w:r>
            <w:r w:rsidRPr="00847A38">
              <w:rPr>
                <w:rFonts w:ascii="Times" w:hAnsi="Times"/>
                <w:sz w:val="20"/>
                <w:szCs w:val="20"/>
                <w:lang w:val="en-US"/>
              </w:rPr>
              <w:fldChar w:fldCharType="begin" w:fldLock="1"/>
            </w:r>
            <w:r w:rsidR="00847A38" w:rsidRPr="00847A38">
              <w:rPr>
                <w:rFonts w:ascii="Times" w:hAnsi="Times"/>
                <w:sz w:val="20"/>
                <w:szCs w:val="20"/>
                <w:lang w:val="en-US"/>
              </w:rPr>
              <w:instrText>ADDIN CSL_CITATION { "citationItems" : [ { "id" : "ITEM-1", "itemData" : { "DOI" : "10.1067/moe.2003.239", "ISSN" : "1079-2104", "PMID" : "12789142", "abstract" : "OBJECTIVE: We sought to evaluate the changes in bite force and dentoskeletal morphology in prognathic patients after orthognathic surgery.\n\nSTUDY DESIGN: Twenty-four patients underwent orthognathic surgery to correct Class III skeletal and dental malocclusions. Ten patients who underwent Le Fort I and bilateral sagittal split ramus osteotomy of the mandible (ie, surgical correction of 2 jaws) and 14 patients who underwent only bilateral sagittal split ramus osteotomy (ie, surgical correction of 1 jaw) were compared. Bite force was measured preoperatively and at 3, 6, and 12 months postoperatively. The dentoskeletal morphology was assessed through lateral cephalograms obtained preoperatively and 12 months postoperatively.\n\nRESULTS: Twelve months postoperatively, the bite force was significantly greater in the patients who underwent surgery on 1 jaw than in the patients who underwent surgery on 2 jaws. Significant decreases in the gonial angle, occlusal plane angle, and anterior facial height were observed postoperatively in the patients with 1 surgically corrected jaw, but not in the patients with 2 surgically corrected jaws. Patients with 2 surgically corrected jaws experienced a greater increase in the Frankfort mandibular plane angle and a greater decrease in the posterior facial height than did those with 1 surgically corrected jaw.\n\nCONCLUSION: The difference in the preoperative-to-postoperative change in dentoskeletal morphology between the 2 groups is one of the factors responsible for the significant difference in postoperative bite force between the 2 groups.", "author" : [ { "dropping-particle" : "", "family" : "Harada", "given" : "Kiyoshi", "non-dropping-particle" : "", "parse-names" : false, "suffix" : "" }, { "dropping-particle" : "", "family" : "Kikuchi", "given" : "Tsuyoshi", "non-dropping-particle" : "", "parse-names" : false, "suffix" : "" }, { "dropping-particle" : "", "family" : "Morishima", "given" : "Seiko", "non-dropping-particle" : "", "parse-names" : false, "suffix" : "" }, { "dropping-particle" : "", "family" : "Sato", "given" : "Masaru", "non-dropping-particle" : "", "parse-names" : false, "suffix" : "" }, { "dropping-particle" : "", "family" : "Ohkura", "given" : "Kazunori", "non-dropping-particle" : "", "parse-names" : false, "suffix" : "" }, { "dropping-particle" : "", "family" : "Omura", "given" : "Ken", "non-dropping-particle" : "", "parse-names" : false, "suffix" : "" } ], "container-title" : "Oral surgery, oral medicine, oral pathology, oral radiology, and endodontics", "id" : "ITEM-1", "issue" : "6", "issued" : { "date-parts" : [ [ "2003", "6" ] ] }, "note" : "Pros.\nOutcome. Effekt p\u00e5 mastikatorisk effektivitet", "page" : "649-54", "title" : "Changes in bite force and dentoskeletal morphology in prognathic patients after orthognathic surgery.", "type" : "article-journal", "volume" : "95" }, "uris" : [ "http://www.mendeley.com/documents/?uuid=684d61b1-5eea-4267-8c01-f8b2f88fd410" ] } ], "mendeley" : { "formattedCitation" : "[4]", "plainTextFormattedCitation" : "[4]", "previouslyFormattedCitation" : "[4]" }, "properties" : { "noteIndex" : 0 }, "schema" : "https://github.com/citation-style-language/schema/raw/master/csl-citation.json" }</w:instrText>
            </w:r>
            <w:r w:rsidRPr="00847A38">
              <w:rPr>
                <w:rFonts w:ascii="Times" w:hAnsi="Times"/>
                <w:sz w:val="20"/>
                <w:szCs w:val="20"/>
                <w:lang w:val="en-US"/>
              </w:rPr>
              <w:fldChar w:fldCharType="separate"/>
            </w:r>
            <w:r w:rsidR="00847A38" w:rsidRPr="00847A38">
              <w:rPr>
                <w:rFonts w:ascii="Times" w:hAnsi="Times"/>
                <w:noProof/>
                <w:sz w:val="20"/>
                <w:szCs w:val="20"/>
                <w:lang w:val="en-US"/>
              </w:rPr>
              <w:t>[4]</w:t>
            </w:r>
            <w:r w:rsidRPr="00847A38">
              <w:rPr>
                <w:rFonts w:ascii="Times" w:hAnsi="Times"/>
                <w:sz w:val="20"/>
                <w:szCs w:val="20"/>
                <w:lang w:val="en-US"/>
              </w:rPr>
              <w:fldChar w:fldCharType="end"/>
            </w:r>
          </w:p>
        </w:tc>
        <w:tc>
          <w:tcPr>
            <w:tcW w:w="0" w:type="auto"/>
          </w:tcPr>
          <w:p w14:paraId="346C7312"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Japan</w:t>
            </w:r>
          </w:p>
        </w:tc>
        <w:tc>
          <w:tcPr>
            <w:tcW w:w="0" w:type="auto"/>
          </w:tcPr>
          <w:p w14:paraId="3F87400C"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2003</w:t>
            </w:r>
          </w:p>
        </w:tc>
        <w:tc>
          <w:tcPr>
            <w:tcW w:w="0" w:type="auto"/>
          </w:tcPr>
          <w:p w14:paraId="42B0E347"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Prospective</w:t>
            </w:r>
          </w:p>
        </w:tc>
        <w:tc>
          <w:tcPr>
            <w:tcW w:w="0" w:type="auto"/>
          </w:tcPr>
          <w:p w14:paraId="170BE93F"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24 (11W/13M)</w:t>
            </w:r>
          </w:p>
        </w:tc>
        <w:tc>
          <w:tcPr>
            <w:tcW w:w="2151" w:type="dxa"/>
          </w:tcPr>
          <w:p w14:paraId="3EFFD02E"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Outcome. Effect on bite force</w:t>
            </w:r>
          </w:p>
        </w:tc>
        <w:tc>
          <w:tcPr>
            <w:tcW w:w="1427" w:type="dxa"/>
          </w:tcPr>
          <w:p w14:paraId="76E25AAF" w14:textId="77777777" w:rsidR="00866C13" w:rsidRPr="00847A38" w:rsidRDefault="00866C13" w:rsidP="00847A38">
            <w:pPr>
              <w:rPr>
                <w:rFonts w:ascii="Times" w:hAnsi="Times"/>
                <w:sz w:val="20"/>
                <w:szCs w:val="20"/>
                <w:lang w:val="en-US"/>
              </w:rPr>
            </w:pPr>
          </w:p>
        </w:tc>
        <w:tc>
          <w:tcPr>
            <w:tcW w:w="1281" w:type="dxa"/>
          </w:tcPr>
          <w:p w14:paraId="64BDF3F1"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X</w:t>
            </w:r>
          </w:p>
        </w:tc>
        <w:tc>
          <w:tcPr>
            <w:tcW w:w="0" w:type="auto"/>
          </w:tcPr>
          <w:p w14:paraId="664454DE"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 xml:space="preserve">12 months </w:t>
            </w:r>
          </w:p>
        </w:tc>
      </w:tr>
      <w:tr w:rsidR="00866C13" w:rsidRPr="00847A38" w14:paraId="64CC42FD" w14:textId="77777777" w:rsidTr="00847A38">
        <w:tc>
          <w:tcPr>
            <w:tcW w:w="0" w:type="auto"/>
          </w:tcPr>
          <w:p w14:paraId="3E997497" w14:textId="0DCF637D" w:rsidR="00866C13" w:rsidRPr="00847A38" w:rsidRDefault="00866C13" w:rsidP="00847A38">
            <w:pPr>
              <w:rPr>
                <w:rFonts w:ascii="Times" w:hAnsi="Times"/>
                <w:sz w:val="20"/>
                <w:szCs w:val="20"/>
                <w:lang w:val="en-US"/>
              </w:rPr>
            </w:pPr>
            <w:r w:rsidRPr="00847A38">
              <w:rPr>
                <w:rFonts w:ascii="Times" w:hAnsi="Times"/>
                <w:sz w:val="20"/>
                <w:szCs w:val="20"/>
                <w:lang w:val="en-US"/>
              </w:rPr>
              <w:t>Lazaridou-Terzoudi et al.</w:t>
            </w:r>
            <w:r w:rsidRPr="00847A38">
              <w:rPr>
                <w:rFonts w:ascii="Times" w:hAnsi="Times"/>
                <w:sz w:val="20"/>
                <w:szCs w:val="20"/>
                <w:lang w:val="en-US"/>
              </w:rPr>
              <w:fldChar w:fldCharType="begin" w:fldLock="1"/>
            </w:r>
            <w:r w:rsidR="00847A38" w:rsidRPr="00847A38">
              <w:rPr>
                <w:rFonts w:ascii="Times" w:hAnsi="Times"/>
                <w:sz w:val="20"/>
                <w:szCs w:val="20"/>
                <w:lang w:val="en-US"/>
              </w:rPr>
              <w:instrText>ADDIN CSL_CITATION { "citationItems" : [ { "id" : "ITEM-1", "itemData" : { "DOI" : "10.1053/joms.2003.50107", "ISSN" : "0278-2391", "PMID" : "12730832", "abstract" : "PURPOSE: This long-term study of post-orthognathic surgery patients aimed at assessing perceptions of problems with physical and psychologic functioning, self-concept, body image, and satisfaction with the surgical outcome based on subjective evaluations. In addition, the patient's perception of self-concept, body image, and function was compared with the perception of pretreatment patients and controls with no treatment need.\n\nPATIENTS AND METHODS: One hundred seventeen patients who underwent orthognathic surgery 10 to 14 years earlier and participated in a psychologic study 10 years earlier received questionnaires that were composed of 4 instruments designed to assess these factors. A sample of 92 persons representing a population without treatment need and 39 patients requesting treatment for a malocclusion served as control groups.\n\nRESULTS: The findings of this study support the hypothesis that improvement in appearance brought about by orthognathic surgery is associated with improvement in psychosocial adjustment. Orthognathic surgery resulted in subjective estimation of function, appearance, health, and interpersonal relationships that was higher than that among pretreatment and no-treatment control groups. The level of body image and self-esteem approximated but did not reach that of a nonpatient population.\n\nCONCLUSIONS: In view of the current psychologic and social environment, patients should be offered the appropriate treatment to correct a disfigurement if it is subjectively perceived by them as a handicap, in part to improve the psychologic outcome.", "author" : [ { "dropping-particle" : "", "family" : "Lazaridou-Terzoudi", "given" : "Theodora", "non-dropping-particle" : "", "parse-names" : false, "suffix" : "" }, { "dropping-particle" : "", "family" : "Kiyak", "given" : "H Asuman", "non-dropping-particle" : "", "parse-names" : false, "suffix" : "" }, { "dropping-particle" : "", "family" : "Moore", "given" : "Rod", "non-dropping-particle" : "", "parse-names" : false, "suffix" : "" }, { "dropping-particle" : "", "family" : "Athanasiou", "given" : "Athanasios E", "non-dropping-particle" : "", "parse-names" : false, "suffix" : "" }, { "dropping-particle" : "", "family" : "Melsen", "given" : "Birte", "non-dropping-particle" : "", "parse-names" : false, "suffix" : "" } ], "container-title" : "Journal of oral and maxillofacial surgery : official journal of the American Association of Oral and Maxillofacial Surgeons", "id" : "ITEM-1", "issue" : "5", "issued" : { "date-parts" : [ [ "2003", "5" ] ] }, "note" : "Retro. (Pt. skal selv huske tilbage p\u00e5 f\u00f8r OS).\nVurderer outcome p\u00e5 alt!", "page" : "545-52", "title" : "Long-term assessment of psychologic outcomes of orthognathic surgery.", "type" : "article-journal", "volume" : "61" }, "uris" : [ "http://www.mendeley.com/documents/?uuid=c08d5e4e-1704-4a63-b161-460a8fc5eacd" ] } ], "mendeley" : { "formattedCitation" : "[5]", "plainTextFormattedCitation" : "[5]", "previouslyFormattedCitation" : "[5]" }, "properties" : { "noteIndex" : 0 }, "schema" : "https://github.com/citation-style-language/schema/raw/master/csl-citation.json" }</w:instrText>
            </w:r>
            <w:r w:rsidRPr="00847A38">
              <w:rPr>
                <w:rFonts w:ascii="Times" w:hAnsi="Times"/>
                <w:sz w:val="20"/>
                <w:szCs w:val="20"/>
                <w:lang w:val="en-US"/>
              </w:rPr>
              <w:fldChar w:fldCharType="separate"/>
            </w:r>
            <w:r w:rsidR="00847A38" w:rsidRPr="00847A38">
              <w:rPr>
                <w:rFonts w:ascii="Times" w:hAnsi="Times"/>
                <w:noProof/>
                <w:sz w:val="20"/>
                <w:szCs w:val="20"/>
                <w:lang w:val="en-US"/>
              </w:rPr>
              <w:t>[5]</w:t>
            </w:r>
            <w:r w:rsidRPr="00847A38">
              <w:rPr>
                <w:rFonts w:ascii="Times" w:hAnsi="Times"/>
                <w:sz w:val="20"/>
                <w:szCs w:val="20"/>
                <w:lang w:val="en-US"/>
              </w:rPr>
              <w:fldChar w:fldCharType="end"/>
            </w:r>
          </w:p>
        </w:tc>
        <w:tc>
          <w:tcPr>
            <w:tcW w:w="0" w:type="auto"/>
          </w:tcPr>
          <w:p w14:paraId="201A9063"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Denmark</w:t>
            </w:r>
          </w:p>
        </w:tc>
        <w:tc>
          <w:tcPr>
            <w:tcW w:w="0" w:type="auto"/>
          </w:tcPr>
          <w:p w14:paraId="3621DD0A"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2003</w:t>
            </w:r>
          </w:p>
        </w:tc>
        <w:tc>
          <w:tcPr>
            <w:tcW w:w="0" w:type="auto"/>
          </w:tcPr>
          <w:p w14:paraId="4C298F84"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Case-control</w:t>
            </w:r>
          </w:p>
        </w:tc>
        <w:tc>
          <w:tcPr>
            <w:tcW w:w="0" w:type="auto"/>
          </w:tcPr>
          <w:p w14:paraId="71738E58"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117 (64W/46M)</w:t>
            </w:r>
          </w:p>
          <w:p w14:paraId="7928CC89"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(Control group: 131)</w:t>
            </w:r>
          </w:p>
        </w:tc>
        <w:tc>
          <w:tcPr>
            <w:tcW w:w="2151" w:type="dxa"/>
          </w:tcPr>
          <w:p w14:paraId="2D3BACAA"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Outcome. Effect on function, aesthetic, psychosocial problems, etc.</w:t>
            </w:r>
          </w:p>
        </w:tc>
        <w:tc>
          <w:tcPr>
            <w:tcW w:w="1427" w:type="dxa"/>
          </w:tcPr>
          <w:p w14:paraId="655BCA33"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X</w:t>
            </w:r>
          </w:p>
        </w:tc>
        <w:tc>
          <w:tcPr>
            <w:tcW w:w="1281" w:type="dxa"/>
          </w:tcPr>
          <w:p w14:paraId="0D68FB92" w14:textId="77777777" w:rsidR="00866C13" w:rsidRPr="00847A38" w:rsidRDefault="00866C13" w:rsidP="00847A38">
            <w:pPr>
              <w:rPr>
                <w:rFonts w:ascii="Times" w:hAnsi="Times"/>
                <w:sz w:val="20"/>
                <w:szCs w:val="20"/>
                <w:lang w:val="en-US"/>
              </w:rPr>
            </w:pPr>
          </w:p>
        </w:tc>
        <w:tc>
          <w:tcPr>
            <w:tcW w:w="0" w:type="auto"/>
          </w:tcPr>
          <w:p w14:paraId="0F87B8E1" w14:textId="5FA67FCA" w:rsidR="002228D3" w:rsidRPr="00847A38" w:rsidRDefault="00355E1D" w:rsidP="00847A38">
            <w:pPr>
              <w:rPr>
                <w:rFonts w:ascii="Times" w:hAnsi="Times"/>
                <w:sz w:val="20"/>
                <w:szCs w:val="20"/>
                <w:lang w:val="en-US"/>
              </w:rPr>
            </w:pPr>
            <w:r>
              <w:rPr>
                <w:rFonts w:ascii="Times" w:hAnsi="Times"/>
                <w:sz w:val="20"/>
                <w:szCs w:val="20"/>
                <w:lang w:val="en-US"/>
              </w:rPr>
              <w:t>Not mentioned</w:t>
            </w:r>
          </w:p>
        </w:tc>
      </w:tr>
      <w:tr w:rsidR="00866C13" w:rsidRPr="00847A38" w14:paraId="31A86942" w14:textId="77777777" w:rsidTr="00847A38">
        <w:tc>
          <w:tcPr>
            <w:tcW w:w="0" w:type="auto"/>
          </w:tcPr>
          <w:p w14:paraId="0B32C70B" w14:textId="61507F98" w:rsidR="00866C13" w:rsidRPr="00847A38" w:rsidRDefault="00866C13" w:rsidP="00847A38">
            <w:pPr>
              <w:rPr>
                <w:rFonts w:ascii="Times" w:hAnsi="Times"/>
                <w:sz w:val="20"/>
                <w:szCs w:val="20"/>
                <w:lang w:val="en-US"/>
              </w:rPr>
            </w:pPr>
            <w:r w:rsidRPr="00847A38">
              <w:rPr>
                <w:rFonts w:ascii="Times" w:hAnsi="Times"/>
                <w:sz w:val="20"/>
                <w:szCs w:val="20"/>
                <w:lang w:val="en-US"/>
              </w:rPr>
              <w:t>Nakata et al.</w:t>
            </w:r>
            <w:r w:rsidRPr="00847A38">
              <w:rPr>
                <w:rFonts w:ascii="Times" w:hAnsi="Times"/>
                <w:sz w:val="20"/>
                <w:szCs w:val="20"/>
                <w:lang w:val="en-US"/>
              </w:rPr>
              <w:fldChar w:fldCharType="begin" w:fldLock="1"/>
            </w:r>
            <w:r w:rsidR="00847A38" w:rsidRPr="00847A38">
              <w:rPr>
                <w:rFonts w:ascii="Times" w:hAnsi="Times"/>
                <w:sz w:val="20"/>
                <w:szCs w:val="20"/>
                <w:lang w:val="en-US"/>
              </w:rPr>
              <w:instrText>ADDIN CSL_CITATION { "citationItems" : [ { "id" : "ITEM-1", "itemData" : { "DOI" : "10.1016/j.joms.2005.12.071", "ISSN" : "0278-2391", "PMID" : "17307591", "abstract" : "PURPOSE: This study was designed to investigate the changes in stomatognathic function through orthognathic treatment in patients with mandibular prognathism.\n\nPATIENTS AND METHODS: Thirty-six patients with mandibular prognathism were tested and compared with 30 healthy controls with normal occlusion. For each subject, the occlusal contact area and occlusal force were measured during maximum voluntary clenching (MVC). Activities of the masseter and temporalis muscles were recorded during MVC and voluntary gum chewing. Jaw movement was analyzed during chewing on the left and right sides. For the analyses, 2 parameters, asymmetry index (AI) and error index (EI), were established to further investigate the nature of masticatory function. AI was used to evaluate the bilateral balance of masticatory muscle activity, and EI indicates the rate of abnormal jaw movement pattern.\n\nRESULTS: In patients with mandibular prognathism, the occlusal contact area and maximum bite force decreased before surgery, and increased after surgery. The masseter and temporal muscle activities also decreased before surgery, but showed no substantial increase even after surgery. The occlusal and muscle efficiency exhibited significantly smaller values in the patient group than in the controls, irrespective of treatment stages. The AI decreased after surgery. The EI decreased significantly after surgery, but was still significantly greater in the patient group than in the controls.\n\nCONCLUSIONS: It is suggested that masticatory muscles in the patients with mandibular prognathism may adapt to the new environment achieved with surgically corrected dentofacial structure, although the activities remain at lower levels as compared with the controls.", "author" : [ { "dropping-particle" : "", "family" : "Nakata", "given" : "Yoshiko", "non-dropping-particle" : "", "parse-names" : false, "suffix" : "" }, { "dropping-particle" : "", "family" : "Ueda", "given" : "Hiroshi M", "non-dropping-particle" : "", "parse-names" : false, "suffix" : "" }, { "dropping-particle" : "", "family" : "Kato", "given" : "Masaaki", "non-dropping-particle" : "", "parse-names" : false, "suffix" : "" }, { "dropping-particle" : "", "family" : "Tabe", "given" : "Hideki", "non-dropping-particle" : "", "parse-names" : false, "suffix" : "" }, { "dropping-particle" : "", "family" : "Shikata-Wakisaka", "given" : "Noriko", "non-dropping-particle" : "", "parse-names" : false, "suffix" : "" }, { "dropping-particle" : "", "family" : "Matsumoto", "given" : "Eka", "non-dropping-particle" : "", "parse-names" : false, "suffix" : "" }, { "dropping-particle" : "", "family" : "Koh", "given" : "Myongsun", "non-dropping-particle" : "", "parse-names" : false, "suffix" : "" }, { "dropping-particle" : "", "family" : "Tanaka", "given" : "Eiji", "non-dropping-particle" : "", "parse-names" : false, "suffix" : "" }, { "dropping-particle" : "", "family" : "Tanne", "given" : "Kazuo", "non-dropping-particle" : "", "parse-names" : false, "suffix" : "" } ], "container-title" : "Journal of oral and maxillofacial surgery : official journal of the American Association of Oral and Maxillofacial Surgeons", "id" : "ITEM-1", "issue" : "3", "issued" : { "date-parts" : [ [ "2007", "3" ] ] }, "note" : "Pros.\nOutcome. Effekt p\u00e5 bidkraft", "page" : "444-51", "title" : "Changes in stomatognathic function induced by orthognathic surgery in patients with mandibular prognathism.", "type" : "article-journal", "volume" : "65" }, "uris" : [ "http://www.mendeley.com/documents/?uuid=d526e1b3-a9fd-45d1-9389-0ccd55b5213f" ] } ], "mendeley" : { "formattedCitation" : "[6]", "plainTextFormattedCitation" : "[6]", "previouslyFormattedCitation" : "[6]" }, "properties" : { "noteIndex" : 0 }, "schema" : "https://github.com/citation-style-language/schema/raw/master/csl-citation.json" }</w:instrText>
            </w:r>
            <w:r w:rsidRPr="00847A38">
              <w:rPr>
                <w:rFonts w:ascii="Times" w:hAnsi="Times"/>
                <w:sz w:val="20"/>
                <w:szCs w:val="20"/>
                <w:lang w:val="en-US"/>
              </w:rPr>
              <w:fldChar w:fldCharType="separate"/>
            </w:r>
            <w:r w:rsidR="00847A38" w:rsidRPr="00847A38">
              <w:rPr>
                <w:rFonts w:ascii="Times" w:hAnsi="Times"/>
                <w:noProof/>
                <w:sz w:val="20"/>
                <w:szCs w:val="20"/>
                <w:lang w:val="en-US"/>
              </w:rPr>
              <w:t>[6]</w:t>
            </w:r>
            <w:r w:rsidRPr="00847A38">
              <w:rPr>
                <w:rFonts w:ascii="Times" w:hAnsi="Times"/>
                <w:sz w:val="20"/>
                <w:szCs w:val="20"/>
                <w:lang w:val="en-US"/>
              </w:rPr>
              <w:fldChar w:fldCharType="end"/>
            </w:r>
          </w:p>
        </w:tc>
        <w:tc>
          <w:tcPr>
            <w:tcW w:w="0" w:type="auto"/>
          </w:tcPr>
          <w:p w14:paraId="360AB063"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Japan</w:t>
            </w:r>
          </w:p>
        </w:tc>
        <w:tc>
          <w:tcPr>
            <w:tcW w:w="0" w:type="auto"/>
          </w:tcPr>
          <w:p w14:paraId="531D9311"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2007</w:t>
            </w:r>
          </w:p>
        </w:tc>
        <w:tc>
          <w:tcPr>
            <w:tcW w:w="0" w:type="auto"/>
          </w:tcPr>
          <w:p w14:paraId="309FC97F"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Prospective</w:t>
            </w:r>
          </w:p>
          <w:p w14:paraId="7D01CA33"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Case-control</w:t>
            </w:r>
          </w:p>
        </w:tc>
        <w:tc>
          <w:tcPr>
            <w:tcW w:w="0" w:type="auto"/>
          </w:tcPr>
          <w:p w14:paraId="48B70827"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37 (24W/12M)</w:t>
            </w:r>
          </w:p>
          <w:p w14:paraId="30C0A34D"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(Control group: 30)</w:t>
            </w:r>
          </w:p>
        </w:tc>
        <w:tc>
          <w:tcPr>
            <w:tcW w:w="2151" w:type="dxa"/>
          </w:tcPr>
          <w:p w14:paraId="6945805C"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Outcome. Effect on bite force, muscle activity</w:t>
            </w:r>
          </w:p>
        </w:tc>
        <w:tc>
          <w:tcPr>
            <w:tcW w:w="1427" w:type="dxa"/>
          </w:tcPr>
          <w:p w14:paraId="2A5A3CE3" w14:textId="77777777" w:rsidR="00866C13" w:rsidRPr="00847A38" w:rsidRDefault="00866C13" w:rsidP="00847A38">
            <w:pPr>
              <w:rPr>
                <w:rFonts w:ascii="Times" w:hAnsi="Times"/>
                <w:sz w:val="20"/>
                <w:szCs w:val="20"/>
                <w:lang w:val="en-US"/>
              </w:rPr>
            </w:pPr>
          </w:p>
        </w:tc>
        <w:tc>
          <w:tcPr>
            <w:tcW w:w="1281" w:type="dxa"/>
          </w:tcPr>
          <w:p w14:paraId="62DEA6C8"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X</w:t>
            </w:r>
          </w:p>
        </w:tc>
        <w:tc>
          <w:tcPr>
            <w:tcW w:w="0" w:type="auto"/>
          </w:tcPr>
          <w:p w14:paraId="12B12A17"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 xml:space="preserve">31 months </w:t>
            </w:r>
          </w:p>
        </w:tc>
      </w:tr>
      <w:tr w:rsidR="00866C13" w:rsidRPr="00847A38" w14:paraId="62A1828C" w14:textId="77777777" w:rsidTr="00847A38">
        <w:tc>
          <w:tcPr>
            <w:tcW w:w="0" w:type="auto"/>
          </w:tcPr>
          <w:p w14:paraId="24DAC598" w14:textId="6FFD12B6" w:rsidR="00866C13" w:rsidRPr="00847A38" w:rsidRDefault="00866C13" w:rsidP="00847A38">
            <w:pPr>
              <w:rPr>
                <w:rFonts w:ascii="Times" w:hAnsi="Times"/>
                <w:sz w:val="20"/>
                <w:szCs w:val="20"/>
                <w:lang w:val="en-US"/>
              </w:rPr>
            </w:pPr>
            <w:r w:rsidRPr="00847A38">
              <w:rPr>
                <w:rFonts w:ascii="Times" w:hAnsi="Times"/>
                <w:sz w:val="20"/>
                <w:szCs w:val="20"/>
                <w:lang w:val="en-US"/>
              </w:rPr>
              <w:t>Pahkala et al.</w:t>
            </w:r>
            <w:r w:rsidRPr="00847A38">
              <w:rPr>
                <w:rFonts w:ascii="Times" w:hAnsi="Times"/>
                <w:sz w:val="20"/>
                <w:szCs w:val="20"/>
                <w:lang w:val="en-US"/>
              </w:rPr>
              <w:fldChar w:fldCharType="begin" w:fldLock="1"/>
            </w:r>
            <w:r w:rsidR="00847A38" w:rsidRPr="00847A38">
              <w:rPr>
                <w:rFonts w:ascii="Times" w:hAnsi="Times"/>
                <w:sz w:val="20"/>
                <w:szCs w:val="20"/>
                <w:lang w:val="en-US"/>
              </w:rPr>
              <w:instrText>ADDIN CSL_CITATION { "citationItems" : [ { "id" : "ITEM-1", "itemData" : { "DOI" : "10.1016/j.ajodo.2005.09.033", "ISSN" : "08895406", "abstract" : "Introduction: Surgical-orthodontic treatment is a common treatment approach for adult patients with skeletal maxillomandibular discrepancy. Some patients report improvement in signs and symptoms of temporomandibular disorder (TMD) after surgery. Whether the correction of malocclusion is responsible for the improvement of TMD symptoms after orthognathic surgery is still controversial. The objectives of this prospective study were to evaluate subjective treatment outcomes in patients with bilateral sagittal split osteotomy (BSSO) and to find out whether signs and symptoms of TMD and changes in occlusion are related to patient satisfaction. Methods: Eighty-two patients (53 female, 29 male) with a mean age of 32 years (range, 16-53 years) treated with BSSO in the Oral and Maxillofacial Department at Kuopio University Hospital in Finland were examined; 64 had mandibular advancement, and 18 had mandibular setback. Occlusion and signs and symptoms of TMD were registered pre- and postoperatively. At the postoperative examination (mean, 1.8 years after BSSO), the patients were asked to fill out a questionnaire about the influence of treatment on their masticatory function and symptoms of TMD, as well as their satisfaction with the treatment outcome. Results: TMD symptoms were significantly reduced after treatment. Improvements were also reported in facial appearance (82%) and chewing ability (61%); also, facial (56%) and temporomandibular joint (40%) pain disappeared. However, in 12% of the patients, temporomandibular joint problems were worse after treatment. Most patients (73%) were very satisfied with the outcomes; no one expressed dissatisfaction. Multiple logistic regression analysis showed that subjects with improved mastication and self-confidence, and those without long-term neurosensory deficits, expressed high satisfaction with the treatment outcome. Patients with mandibular setback were more pleased with the outcome than those with mandibular advancement. Conclusions: Orthognathic patients generally experience functional and psychosocial benefits after surgical-orthodontic treatment. In addition to functional and morphological reasons, the psychosocial factors should be more emphasized when making the treatment decision and comparing the alternative treatment approaches. ?? 2007 American Association of Orthodontists.", "author" : [ { "dropping-particle" : "", "family" : "Pahkala", "given" : "Riitta H.", "non-dropping-particle" : "", "parse-names" : false, "suffix" : "" }, { "dropping-particle" : "", "family" : "Kellokoski", "given" : "Jari K.", "non-dropping-particle" : "", "parse-names" : false, "suffix" : "" } ], "container-title" : "American Journal of Orthodontics and Dentofacial Orthopedics", "id" : "ITEM-1", "issue" : "2", "issued" : { "date-parts" : [ [ "2007" ] ] }, "note" : "Pros.\nOutcome. Subj. Qurstionnaire", "page" : "158-164", "title" : "Surgical-orthodontic treatment and patients' functional and psychosocial well-being", "type" : "article-journal", "volume" : "132" }, "uris" : [ "http://www.mendeley.com/documents/?uuid=aa4a8e7b-edcd-423f-ba8f-272f6922d3dd" ] } ], "mendeley" : { "formattedCitation" : "[7]", "plainTextFormattedCitation" : "[7]", "previouslyFormattedCitation" : "[7]" }, "properties" : { "noteIndex" : 0 }, "schema" : "https://github.com/citation-style-language/schema/raw/master/csl-citation.json" }</w:instrText>
            </w:r>
            <w:r w:rsidRPr="00847A38">
              <w:rPr>
                <w:rFonts w:ascii="Times" w:hAnsi="Times"/>
                <w:sz w:val="20"/>
                <w:szCs w:val="20"/>
                <w:lang w:val="en-US"/>
              </w:rPr>
              <w:fldChar w:fldCharType="separate"/>
            </w:r>
            <w:r w:rsidR="00847A38" w:rsidRPr="00847A38">
              <w:rPr>
                <w:rFonts w:ascii="Times" w:hAnsi="Times"/>
                <w:noProof/>
                <w:sz w:val="20"/>
                <w:szCs w:val="20"/>
                <w:lang w:val="en-US"/>
              </w:rPr>
              <w:t>[7]</w:t>
            </w:r>
            <w:r w:rsidRPr="00847A38">
              <w:rPr>
                <w:rFonts w:ascii="Times" w:hAnsi="Times"/>
                <w:sz w:val="20"/>
                <w:szCs w:val="20"/>
                <w:lang w:val="en-US"/>
              </w:rPr>
              <w:fldChar w:fldCharType="end"/>
            </w:r>
          </w:p>
        </w:tc>
        <w:tc>
          <w:tcPr>
            <w:tcW w:w="0" w:type="auto"/>
          </w:tcPr>
          <w:p w14:paraId="77DB3008"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Finland</w:t>
            </w:r>
          </w:p>
        </w:tc>
        <w:tc>
          <w:tcPr>
            <w:tcW w:w="0" w:type="auto"/>
          </w:tcPr>
          <w:p w14:paraId="2ECE9E9D"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2007</w:t>
            </w:r>
          </w:p>
        </w:tc>
        <w:tc>
          <w:tcPr>
            <w:tcW w:w="0" w:type="auto"/>
          </w:tcPr>
          <w:p w14:paraId="47A7C2AE"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Prospective</w:t>
            </w:r>
          </w:p>
        </w:tc>
        <w:tc>
          <w:tcPr>
            <w:tcW w:w="0" w:type="auto"/>
          </w:tcPr>
          <w:p w14:paraId="09E4584B"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82 (53W/29M)</w:t>
            </w:r>
          </w:p>
        </w:tc>
        <w:tc>
          <w:tcPr>
            <w:tcW w:w="2151" w:type="dxa"/>
          </w:tcPr>
          <w:p w14:paraId="181BE8E0" w14:textId="375B7D77" w:rsidR="00866C13" w:rsidRPr="00847A38" w:rsidRDefault="002228D3" w:rsidP="00847A38">
            <w:pPr>
              <w:rPr>
                <w:rFonts w:ascii="Times" w:hAnsi="Times"/>
                <w:sz w:val="20"/>
                <w:szCs w:val="20"/>
                <w:lang w:val="en-US"/>
              </w:rPr>
            </w:pPr>
            <w:r w:rsidRPr="00847A38">
              <w:rPr>
                <w:rFonts w:ascii="Times" w:hAnsi="Times"/>
                <w:sz w:val="20"/>
                <w:szCs w:val="20"/>
                <w:lang w:val="en-US"/>
              </w:rPr>
              <w:t>Outcome. Effect on TMJ dysfunction, aesthetic, psychosocial well-being</w:t>
            </w:r>
          </w:p>
        </w:tc>
        <w:tc>
          <w:tcPr>
            <w:tcW w:w="1427" w:type="dxa"/>
          </w:tcPr>
          <w:p w14:paraId="01C192A0" w14:textId="3C56CF8E" w:rsidR="00866C13" w:rsidRPr="00847A38" w:rsidRDefault="002228D3" w:rsidP="00847A38">
            <w:pPr>
              <w:rPr>
                <w:rFonts w:ascii="Times" w:hAnsi="Times"/>
                <w:sz w:val="20"/>
                <w:szCs w:val="20"/>
                <w:lang w:val="en-US"/>
              </w:rPr>
            </w:pPr>
            <w:r w:rsidRPr="00847A38">
              <w:rPr>
                <w:rFonts w:ascii="Times" w:hAnsi="Times"/>
                <w:sz w:val="20"/>
                <w:szCs w:val="20"/>
                <w:lang w:val="en-US"/>
              </w:rPr>
              <w:t>X</w:t>
            </w:r>
          </w:p>
        </w:tc>
        <w:tc>
          <w:tcPr>
            <w:tcW w:w="1281" w:type="dxa"/>
          </w:tcPr>
          <w:p w14:paraId="7A22AEE8" w14:textId="625D9CD7" w:rsidR="00866C13" w:rsidRPr="00847A38" w:rsidRDefault="002228D3" w:rsidP="00847A38">
            <w:pPr>
              <w:rPr>
                <w:rFonts w:ascii="Times" w:hAnsi="Times"/>
                <w:sz w:val="20"/>
                <w:szCs w:val="20"/>
                <w:lang w:val="en-US"/>
              </w:rPr>
            </w:pPr>
            <w:r w:rsidRPr="00847A38">
              <w:rPr>
                <w:rFonts w:ascii="Times" w:hAnsi="Times"/>
                <w:sz w:val="20"/>
                <w:szCs w:val="20"/>
                <w:lang w:val="en-US"/>
              </w:rPr>
              <w:t>X</w:t>
            </w:r>
          </w:p>
        </w:tc>
        <w:tc>
          <w:tcPr>
            <w:tcW w:w="0" w:type="auto"/>
          </w:tcPr>
          <w:p w14:paraId="1F9CEFA0"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 xml:space="preserve">Mean 21.6 months </w:t>
            </w:r>
          </w:p>
        </w:tc>
      </w:tr>
      <w:tr w:rsidR="00866C13" w:rsidRPr="00847A38" w14:paraId="53008511" w14:textId="77777777" w:rsidTr="00847A38">
        <w:tc>
          <w:tcPr>
            <w:tcW w:w="0" w:type="auto"/>
          </w:tcPr>
          <w:p w14:paraId="691A2241" w14:textId="250971C2" w:rsidR="00866C13" w:rsidRPr="00847A38" w:rsidRDefault="00866C13" w:rsidP="00847A38">
            <w:pPr>
              <w:rPr>
                <w:rFonts w:ascii="Times" w:hAnsi="Times"/>
                <w:sz w:val="20"/>
                <w:szCs w:val="20"/>
                <w:lang w:val="en-US"/>
              </w:rPr>
            </w:pPr>
            <w:r w:rsidRPr="00847A38">
              <w:rPr>
                <w:rFonts w:ascii="Times" w:hAnsi="Times"/>
                <w:sz w:val="20"/>
                <w:szCs w:val="20"/>
                <w:lang w:val="en-US"/>
              </w:rPr>
              <w:t>Lee et al.</w:t>
            </w:r>
            <w:r w:rsidRPr="00847A38">
              <w:rPr>
                <w:rFonts w:ascii="Times" w:hAnsi="Times"/>
                <w:sz w:val="20"/>
                <w:szCs w:val="20"/>
                <w:lang w:val="en-US"/>
              </w:rPr>
              <w:fldChar w:fldCharType="begin" w:fldLock="1"/>
            </w:r>
            <w:r w:rsidR="00847A38" w:rsidRPr="00847A38">
              <w:rPr>
                <w:rFonts w:ascii="Times" w:hAnsi="Times"/>
                <w:sz w:val="20"/>
                <w:szCs w:val="20"/>
                <w:lang w:val="en-US"/>
              </w:rPr>
              <w:instrText>ADDIN CSL_CITATION { "citationItems" : [ { "id" : "ITEM-1", "itemData" : { "DOI" : "10.1016/j.joms.2008.01.006", "ISBN" : "1531-5053 (Electronic) 0278-2391 (Linking)", "ISSN" : "02782391", "PMID" : "18486784", "abstract" : "Purpose: To determine changes in quality of life (QOL) following orthognathic surgery in patients with dentofacial deformity, using generic health, generic oral health, and condition-specific QOL approaches. Materials and Methods: Thirty-six patients were evaluated at baseline presurgical (T0), 6 weeks postoperatively (T1), and 6 months postoperatively (T2). Generic health-related QOL was assessed using the 36-item Short Form Health Survey (SF-36), generic oral health-related QOL was assessed by the 14-item Short Form Oral Health Impact Profile (OHIP-14), and condition-specific QOL was assessed by the 22-item Orthognathic Quality of Life Questionnaire (OQLQ). Results: There was a significant reduction (deterioration) in SF-36 summary physical (P &lt; .01) and mental health scores (P &lt; .001) at 6 weeks after surgery but no significant change in overall OHIP-14 or OQLQ scores. At 6 months after surgery, SF-36 summary scores returned to baseline levels and significant reduction (improvements) in OHIP-14 (P &lt; .001) and OQLQ mean scores (P &lt; .001) were observed. Conclusions: Significant changes in QOL occurred following orthognathic surgery. A marked but transient deterioration in many aspects related to general well being was noted in the early postoperative period and significant improvement was documented by 6 months. A comprehensive assessment of QOL using generic health, generic oral health, and condition-specific approaches proved useful in determining such changes. ?? 2008 American Association of Oral and Maxillofacial Surgeons.", "author" : [ { "dropping-particle" : "", "family" : "Lee", "given" : "Shermin", "non-dropping-particle" : "", "parse-names" : false, "suffix" : "" }, { "dropping-particle" : "", "family" : "McGrath", "given" : "Colman", "non-dropping-particle" : "", "parse-names" : false, "suffix" : "" }, { "dropping-particle" : "", "family" : "Samman", "given" : "Nabil", "non-dropping-particle" : "", "parse-names" : false, "suffix" : "" } ], "container-title" : "Journal of Oral and Maxillofacial Surgery", "id" : "ITEM-1", "issued" : { "date-parts" : [ [ "2008" ] ] }, "note" : "Pros.\nQuality of Life. Questionnaire", "page" : "1194-1199", "title" : "Impact of Orthognathic Surgery on Quality of Life", "type" : "article-journal", "volume" : "66" }, "uris" : [ "http://www.mendeley.com/documents/?uuid=c16b79cd-2c50-4760-bfa2-042dd49b9554" ] } ], "mendeley" : { "formattedCitation" : "[8]", "plainTextFormattedCitation" : "[8]", "previouslyFormattedCitation" : "[8]" }, "properties" : { "noteIndex" : 0 }, "schema" : "https://github.com/citation-style-language/schema/raw/master/csl-citation.json" }</w:instrText>
            </w:r>
            <w:r w:rsidRPr="00847A38">
              <w:rPr>
                <w:rFonts w:ascii="Times" w:hAnsi="Times"/>
                <w:sz w:val="20"/>
                <w:szCs w:val="20"/>
                <w:lang w:val="en-US"/>
              </w:rPr>
              <w:fldChar w:fldCharType="separate"/>
            </w:r>
            <w:r w:rsidR="00847A38" w:rsidRPr="00847A38">
              <w:rPr>
                <w:rFonts w:ascii="Times" w:hAnsi="Times"/>
                <w:noProof/>
                <w:sz w:val="20"/>
                <w:szCs w:val="20"/>
                <w:lang w:val="en-US"/>
              </w:rPr>
              <w:t>[8]</w:t>
            </w:r>
            <w:r w:rsidRPr="00847A38">
              <w:rPr>
                <w:rFonts w:ascii="Times" w:hAnsi="Times"/>
                <w:sz w:val="20"/>
                <w:szCs w:val="20"/>
                <w:lang w:val="en-US"/>
              </w:rPr>
              <w:fldChar w:fldCharType="end"/>
            </w:r>
          </w:p>
        </w:tc>
        <w:tc>
          <w:tcPr>
            <w:tcW w:w="0" w:type="auto"/>
          </w:tcPr>
          <w:p w14:paraId="2AA0F8F2"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Hong Kong</w:t>
            </w:r>
          </w:p>
        </w:tc>
        <w:tc>
          <w:tcPr>
            <w:tcW w:w="0" w:type="auto"/>
          </w:tcPr>
          <w:p w14:paraId="7C7B33E0"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2008</w:t>
            </w:r>
          </w:p>
        </w:tc>
        <w:tc>
          <w:tcPr>
            <w:tcW w:w="0" w:type="auto"/>
          </w:tcPr>
          <w:p w14:paraId="1D822205"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Prospective</w:t>
            </w:r>
          </w:p>
        </w:tc>
        <w:tc>
          <w:tcPr>
            <w:tcW w:w="0" w:type="auto"/>
          </w:tcPr>
          <w:p w14:paraId="245FE738"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36 (25W/11M)</w:t>
            </w:r>
          </w:p>
        </w:tc>
        <w:tc>
          <w:tcPr>
            <w:tcW w:w="2151" w:type="dxa"/>
          </w:tcPr>
          <w:p w14:paraId="0E361B2D" w14:textId="4A10C8BF" w:rsidR="00866C13" w:rsidRPr="00847A38" w:rsidRDefault="00CD0DB5" w:rsidP="00847A38">
            <w:pPr>
              <w:rPr>
                <w:rFonts w:ascii="Times" w:hAnsi="Times"/>
                <w:sz w:val="20"/>
                <w:szCs w:val="20"/>
                <w:lang w:val="en-US"/>
              </w:rPr>
            </w:pPr>
            <w:r w:rsidRPr="00847A38">
              <w:rPr>
                <w:rFonts w:ascii="Times" w:hAnsi="Times"/>
                <w:sz w:val="20"/>
                <w:szCs w:val="20"/>
                <w:lang w:val="en-US"/>
              </w:rPr>
              <w:t>Outcome. Quality of life</w:t>
            </w:r>
          </w:p>
        </w:tc>
        <w:tc>
          <w:tcPr>
            <w:tcW w:w="1427" w:type="dxa"/>
          </w:tcPr>
          <w:p w14:paraId="4CBD39EE" w14:textId="6F80CAD6" w:rsidR="00866C13" w:rsidRPr="00847A38" w:rsidRDefault="00CD0DB5" w:rsidP="00847A38">
            <w:pPr>
              <w:rPr>
                <w:rFonts w:ascii="Times" w:hAnsi="Times"/>
                <w:sz w:val="20"/>
                <w:szCs w:val="20"/>
                <w:lang w:val="en-US"/>
              </w:rPr>
            </w:pPr>
            <w:r w:rsidRPr="00847A38">
              <w:rPr>
                <w:rFonts w:ascii="Times" w:hAnsi="Times"/>
                <w:sz w:val="20"/>
                <w:szCs w:val="20"/>
                <w:lang w:val="en-US"/>
              </w:rPr>
              <w:t>X</w:t>
            </w:r>
          </w:p>
        </w:tc>
        <w:tc>
          <w:tcPr>
            <w:tcW w:w="1281" w:type="dxa"/>
          </w:tcPr>
          <w:p w14:paraId="12643C3A" w14:textId="77777777" w:rsidR="00866C13" w:rsidRPr="00847A38" w:rsidRDefault="00866C13" w:rsidP="00847A38">
            <w:pPr>
              <w:rPr>
                <w:rFonts w:ascii="Times" w:hAnsi="Times"/>
                <w:sz w:val="20"/>
                <w:szCs w:val="20"/>
                <w:lang w:val="en-US"/>
              </w:rPr>
            </w:pPr>
          </w:p>
        </w:tc>
        <w:tc>
          <w:tcPr>
            <w:tcW w:w="0" w:type="auto"/>
          </w:tcPr>
          <w:p w14:paraId="2A672B9A"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 xml:space="preserve">6 months </w:t>
            </w:r>
          </w:p>
        </w:tc>
      </w:tr>
      <w:tr w:rsidR="00866C13" w:rsidRPr="00847A38" w14:paraId="754827CB" w14:textId="77777777" w:rsidTr="00847A38">
        <w:tc>
          <w:tcPr>
            <w:tcW w:w="0" w:type="auto"/>
          </w:tcPr>
          <w:p w14:paraId="55FDBA03" w14:textId="58C0BB68" w:rsidR="00866C13" w:rsidRPr="00847A38" w:rsidRDefault="00866C13" w:rsidP="00847A38">
            <w:pPr>
              <w:rPr>
                <w:rFonts w:ascii="Times" w:hAnsi="Times"/>
                <w:sz w:val="20"/>
                <w:szCs w:val="20"/>
                <w:lang w:val="en-US"/>
              </w:rPr>
            </w:pPr>
            <w:r w:rsidRPr="00847A38">
              <w:rPr>
                <w:rFonts w:ascii="Times" w:hAnsi="Times"/>
                <w:sz w:val="20"/>
                <w:szCs w:val="20"/>
                <w:lang w:val="en-US"/>
              </w:rPr>
              <w:t>Espeland et al.</w:t>
            </w:r>
            <w:r w:rsidRPr="00847A38">
              <w:rPr>
                <w:rFonts w:ascii="Times" w:hAnsi="Times"/>
                <w:sz w:val="20"/>
                <w:szCs w:val="20"/>
                <w:lang w:val="en-US"/>
              </w:rPr>
              <w:fldChar w:fldCharType="begin" w:fldLock="1"/>
            </w:r>
            <w:r w:rsidR="00847A38" w:rsidRPr="00847A38">
              <w:rPr>
                <w:rFonts w:ascii="Times" w:hAnsi="Times"/>
                <w:sz w:val="20"/>
                <w:szCs w:val="20"/>
                <w:lang w:val="en-US"/>
              </w:rPr>
              <w:instrText>ADDIN CSL_CITATION { "citationItems" : [ { "id" : "ITEM-1", "itemData" : { "DOI" : "10.1093/ejo/cjm081", "ISBN" : "0141-5387 (Print)\\r0141-5387 (Linking)", "ISSN" : "01415387", "PMID" : "18033770", "abstract" : "The purpose of this study was to evaluate the outcome of a scheme for provision of orthognathic surgery by examining whether patients' expectations were fulfilled as well as their opinions about the result of treatment and side-effects. Data were obtained during a pre-planned 3-year follow-up clinical examination which included the administration of patient questionnaires. Of 583 subjects (281 females, 235 males; mean age 27.2 years) who underwent surgery during the period 1994-2002, 516 attended (89 per cent). Differences between subgroups and associations between variables were analysed by chi-square or Fisher's exact test. The most frequent motives for treatment were improvement of dental appearance and chewing ability, indicated by 83 and 81 per cent of the patients, respectively. The expectations were fulfilled for most patients, and satisfaction with the treatment result was reported by 92 per cent. Dissatisfaction was significantly related to gender, skeletal malocclusion, and surgical procedure (P = 0.001). Of all patients, 36.8 per cent reported impaired sensory function, the most frequent side effect. Sensory impairment and concern due to disturbed sensation were significantly related to age at surgery (P = 0.001 and P = 0.041, respectively). The treatment outcome as perceived by the patients was generally favourable. Even if sensory disturbance was frequently observed, most patients, especially in the younger age groups, seemed to adapt. Certain patient characteristics and surgical procedures were associated with an increased risk of dissatisfaction. These observations are relevant in the guidance of prospective orthognathic patients.", "author" : [ { "dropping-particle" : "", "family" : "Espeland", "given" : "Lisen", "non-dropping-particle" : "", "parse-names" : false, "suffix" : "" }, { "dropping-particle" : "", "family" : "H\u00f8gevold", "given" : "Hans Erik", "non-dropping-particle" : "", "parse-names" : false, "suffix" : "" }, { "dropping-particle" : "", "family" : "Stenvik", "given" : "Arild", "non-dropping-particle" : "", "parse-names" : false, "suffix" : "" } ], "container-title" : "European Journal of Orthodontics", "id" : "ITEM-1", "issue" : "1", "issued" : { "date-parts" : [ [ "2008" ] ] }, "note" : "Retro.\nSubj. Appearance, chewing. Questionnaire", "page" : "24-30", "title" : "A 3-year patient-centred follow-up of 516 consecutively treated orthognathic surgery patients", "type" : "article-journal", "volume" : "30" }, "uris" : [ "http://www.mendeley.com/documents/?uuid=af259807-d65f-44c7-bb15-9708097c78dc" ] } ], "mendeley" : { "formattedCitation" : "[9]", "plainTextFormattedCitation" : "[9]", "previouslyFormattedCitation" : "[9]" }, "properties" : { "noteIndex" : 0 }, "schema" : "https://github.com/citation-style-language/schema/raw/master/csl-citation.json" }</w:instrText>
            </w:r>
            <w:r w:rsidRPr="00847A38">
              <w:rPr>
                <w:rFonts w:ascii="Times" w:hAnsi="Times"/>
                <w:sz w:val="20"/>
                <w:szCs w:val="20"/>
                <w:lang w:val="en-US"/>
              </w:rPr>
              <w:fldChar w:fldCharType="separate"/>
            </w:r>
            <w:r w:rsidR="00847A38" w:rsidRPr="00847A38">
              <w:rPr>
                <w:rFonts w:ascii="Times" w:hAnsi="Times"/>
                <w:noProof/>
                <w:sz w:val="20"/>
                <w:szCs w:val="20"/>
                <w:lang w:val="en-US"/>
              </w:rPr>
              <w:t>[9]</w:t>
            </w:r>
            <w:r w:rsidRPr="00847A38">
              <w:rPr>
                <w:rFonts w:ascii="Times" w:hAnsi="Times"/>
                <w:sz w:val="20"/>
                <w:szCs w:val="20"/>
                <w:lang w:val="en-US"/>
              </w:rPr>
              <w:fldChar w:fldCharType="end"/>
            </w:r>
            <w:r w:rsidRPr="00847A38">
              <w:rPr>
                <w:rFonts w:ascii="Times" w:hAnsi="Times"/>
                <w:sz w:val="20"/>
                <w:szCs w:val="20"/>
                <w:lang w:val="en-US"/>
              </w:rPr>
              <w:t xml:space="preserve"> </w:t>
            </w:r>
          </w:p>
        </w:tc>
        <w:tc>
          <w:tcPr>
            <w:tcW w:w="0" w:type="auto"/>
          </w:tcPr>
          <w:p w14:paraId="01D5E0F5"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Norway</w:t>
            </w:r>
          </w:p>
        </w:tc>
        <w:tc>
          <w:tcPr>
            <w:tcW w:w="0" w:type="auto"/>
          </w:tcPr>
          <w:p w14:paraId="0523BEA5"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2007</w:t>
            </w:r>
          </w:p>
        </w:tc>
        <w:tc>
          <w:tcPr>
            <w:tcW w:w="0" w:type="auto"/>
          </w:tcPr>
          <w:p w14:paraId="475576CB"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Retrospective</w:t>
            </w:r>
          </w:p>
        </w:tc>
        <w:tc>
          <w:tcPr>
            <w:tcW w:w="0" w:type="auto"/>
          </w:tcPr>
          <w:p w14:paraId="34BB12B8"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516 (281W/235M)</w:t>
            </w:r>
          </w:p>
        </w:tc>
        <w:tc>
          <w:tcPr>
            <w:tcW w:w="2151" w:type="dxa"/>
          </w:tcPr>
          <w:p w14:paraId="07C9E441" w14:textId="0C9510B6" w:rsidR="00866C13" w:rsidRPr="00847A38" w:rsidRDefault="004C1444" w:rsidP="00847A38">
            <w:pPr>
              <w:rPr>
                <w:rFonts w:ascii="Times" w:hAnsi="Times"/>
                <w:sz w:val="20"/>
                <w:szCs w:val="20"/>
                <w:lang w:val="en-US"/>
              </w:rPr>
            </w:pPr>
            <w:r w:rsidRPr="00847A38">
              <w:rPr>
                <w:rFonts w:ascii="Times" w:hAnsi="Times"/>
                <w:sz w:val="20"/>
                <w:szCs w:val="20"/>
                <w:lang w:val="en-US"/>
              </w:rPr>
              <w:t>Outcome and m</w:t>
            </w:r>
            <w:r w:rsidR="00CD0DB5" w:rsidRPr="00847A38">
              <w:rPr>
                <w:rFonts w:ascii="Times" w:hAnsi="Times"/>
                <w:sz w:val="20"/>
                <w:szCs w:val="20"/>
                <w:lang w:val="en-US"/>
              </w:rPr>
              <w:t>otivation. Effect on a</w:t>
            </w:r>
            <w:r w:rsidR="00866C13" w:rsidRPr="00847A38">
              <w:rPr>
                <w:rFonts w:ascii="Times" w:hAnsi="Times"/>
                <w:sz w:val="20"/>
                <w:szCs w:val="20"/>
                <w:lang w:val="en-US"/>
              </w:rPr>
              <w:t>ppeara</w:t>
            </w:r>
            <w:r w:rsidR="00CD0DB5" w:rsidRPr="00847A38">
              <w:rPr>
                <w:rFonts w:ascii="Times" w:hAnsi="Times"/>
                <w:sz w:val="20"/>
                <w:szCs w:val="20"/>
                <w:lang w:val="en-US"/>
              </w:rPr>
              <w:t>nce, function, oral health</w:t>
            </w:r>
          </w:p>
        </w:tc>
        <w:tc>
          <w:tcPr>
            <w:tcW w:w="1427" w:type="dxa"/>
          </w:tcPr>
          <w:p w14:paraId="6746490F" w14:textId="15ECD9B6" w:rsidR="00866C13" w:rsidRPr="00847A38" w:rsidRDefault="00CD0DB5" w:rsidP="00847A38">
            <w:pPr>
              <w:rPr>
                <w:rFonts w:ascii="Times" w:hAnsi="Times"/>
                <w:sz w:val="20"/>
                <w:szCs w:val="20"/>
                <w:lang w:val="en-US"/>
              </w:rPr>
            </w:pPr>
            <w:r w:rsidRPr="00847A38">
              <w:rPr>
                <w:rFonts w:ascii="Times" w:hAnsi="Times"/>
                <w:sz w:val="20"/>
                <w:szCs w:val="20"/>
                <w:lang w:val="en-US"/>
              </w:rPr>
              <w:t>X</w:t>
            </w:r>
          </w:p>
        </w:tc>
        <w:tc>
          <w:tcPr>
            <w:tcW w:w="1281" w:type="dxa"/>
          </w:tcPr>
          <w:p w14:paraId="0E6DAE2D" w14:textId="29CC1921" w:rsidR="00866C13" w:rsidRPr="00847A38" w:rsidRDefault="00CD0DB5" w:rsidP="00847A38">
            <w:pPr>
              <w:rPr>
                <w:rFonts w:ascii="Times" w:hAnsi="Times"/>
                <w:sz w:val="20"/>
                <w:szCs w:val="20"/>
                <w:lang w:val="en-US"/>
              </w:rPr>
            </w:pPr>
            <w:r w:rsidRPr="00847A38">
              <w:rPr>
                <w:rFonts w:ascii="Times" w:hAnsi="Times"/>
                <w:sz w:val="20"/>
                <w:szCs w:val="20"/>
                <w:lang w:val="en-US"/>
              </w:rPr>
              <w:t>X</w:t>
            </w:r>
          </w:p>
        </w:tc>
        <w:tc>
          <w:tcPr>
            <w:tcW w:w="0" w:type="auto"/>
          </w:tcPr>
          <w:p w14:paraId="20BFB324"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 xml:space="preserve">18 months </w:t>
            </w:r>
          </w:p>
        </w:tc>
      </w:tr>
      <w:tr w:rsidR="00866C13" w:rsidRPr="00847A38" w14:paraId="4F964371" w14:textId="77777777" w:rsidTr="00847A38">
        <w:tc>
          <w:tcPr>
            <w:tcW w:w="0" w:type="auto"/>
          </w:tcPr>
          <w:p w14:paraId="6C2B8E08" w14:textId="3E3F0F4D" w:rsidR="00866C13" w:rsidRPr="00847A38" w:rsidRDefault="00866C13" w:rsidP="00847A38">
            <w:pPr>
              <w:rPr>
                <w:rFonts w:ascii="Times" w:hAnsi="Times"/>
                <w:sz w:val="20"/>
                <w:szCs w:val="20"/>
                <w:lang w:val="en-US"/>
              </w:rPr>
            </w:pPr>
            <w:r w:rsidRPr="00847A38">
              <w:rPr>
                <w:rFonts w:ascii="Times" w:hAnsi="Times"/>
                <w:sz w:val="20"/>
                <w:szCs w:val="20"/>
                <w:lang w:val="en-US"/>
              </w:rPr>
              <w:t>Nicodemo et al.</w:t>
            </w:r>
            <w:r w:rsidRPr="00847A38">
              <w:rPr>
                <w:rFonts w:ascii="Times" w:hAnsi="Times"/>
                <w:sz w:val="20"/>
                <w:szCs w:val="20"/>
                <w:lang w:val="en-US"/>
              </w:rPr>
              <w:fldChar w:fldCharType="begin" w:fldLock="1"/>
            </w:r>
            <w:r w:rsidR="00847A38" w:rsidRPr="00847A38">
              <w:rPr>
                <w:rFonts w:ascii="Times" w:hAnsi="Times"/>
                <w:sz w:val="20"/>
                <w:szCs w:val="20"/>
                <w:lang w:val="en-US"/>
              </w:rPr>
              <w:instrText>ADDIN CSL_CITATION { "citationItems" : [ { "id" : "ITEM-1", "itemData" : { "DOI" : "10.1016/j.ijom.2007.07.024", "ISSN" : "0901-5027", "PMID" : "17919889", "abstract" : "The purpose of this work was to evaluate the quality of life of patients with Angle's class III malocclusion submitted to orthognathic surgery. Twenty-nine patients of both sexes, ranging in age from 17 to 46 years, with Angle's class III malocclusion and indication for surgical treatment, were evaluated about 30 days before surgery and 6 months postoperatively. Surgery consisted of maxillary advancement or mandibular retrusion, or both. The generic SF-36 questionnaire was used to evaluate the following eight domains: functional capacity, physical aspects, pain, general health status, mental health, emotional aspects, social aspects and vitality. Descriptive and inferential statistical analyses were used to determine possible interactions between timing of evaluation, gender and type of surgery. With respect to physical and social aspects, a significant difference in outcomes was observed, with mean scores being higher after surgery regardless of gender or type of surgery. Regarding emotional aspects, an interaction effect was observed for timing and gender, with higher mean scores only being obtained for females after surgery. Orthognathic surgery had a positive impact on the quality of life of both male and female patients, improving physical and social aspects, and on that of female patients, improving emotional aspects.", "author" : [ { "dropping-particle" : "", "family" : "Nicodemo", "given" : "D", "non-dropping-particle" : "", "parse-names" : false, "suffix" : "" }, { "dropping-particle" : "", "family" : "Pereira", "given" : "M D", "non-dropping-particle" : "", "parse-names" : false, "suffix" : "" }, { "dropping-particle" : "", "family" : "Ferreira", "given" : "L M", "non-dropping-particle" : "", "parse-names" : false, "suffix" : "" } ], "container-title" : "International journal of oral and maxillofacial surgery", "id" : "ITEM-1", "issue" : "2", "issued" : { "date-parts" : [ [ "2008", "2" ] ] }, "note" : "Web-based. Scoops\n\nPros.\nFunction, psychosocial. Questionnaire. 0-100.", "page" : "131-4", "title" : "Effect of orthognathic surgery for class III correction on quality of life as measured by SF-36.", "type" : "article-journal", "volume" : "37" }, "uris" : [ "http://www.mendeley.com/documents/?uuid=a240931c-4a2b-4922-a72a-270b525d2449" ] } ], "mendeley" : { "formattedCitation" : "[10]", "plainTextFormattedCitation" : "[10]", "previouslyFormattedCitation" : "[10]" }, "properties" : { "noteIndex" : 0 }, "schema" : "https://github.com/citation-style-language/schema/raw/master/csl-citation.json" }</w:instrText>
            </w:r>
            <w:r w:rsidRPr="00847A38">
              <w:rPr>
                <w:rFonts w:ascii="Times" w:hAnsi="Times"/>
                <w:sz w:val="20"/>
                <w:szCs w:val="20"/>
                <w:lang w:val="en-US"/>
              </w:rPr>
              <w:fldChar w:fldCharType="separate"/>
            </w:r>
            <w:r w:rsidR="00847A38" w:rsidRPr="00847A38">
              <w:rPr>
                <w:rFonts w:ascii="Times" w:hAnsi="Times"/>
                <w:noProof/>
                <w:sz w:val="20"/>
                <w:szCs w:val="20"/>
                <w:lang w:val="en-US"/>
              </w:rPr>
              <w:t>[10]</w:t>
            </w:r>
            <w:r w:rsidRPr="00847A38">
              <w:rPr>
                <w:rFonts w:ascii="Times" w:hAnsi="Times"/>
                <w:sz w:val="20"/>
                <w:szCs w:val="20"/>
                <w:lang w:val="en-US"/>
              </w:rPr>
              <w:fldChar w:fldCharType="end"/>
            </w:r>
          </w:p>
        </w:tc>
        <w:tc>
          <w:tcPr>
            <w:tcW w:w="0" w:type="auto"/>
          </w:tcPr>
          <w:p w14:paraId="5DF4A956"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Brazil</w:t>
            </w:r>
          </w:p>
        </w:tc>
        <w:tc>
          <w:tcPr>
            <w:tcW w:w="0" w:type="auto"/>
          </w:tcPr>
          <w:p w14:paraId="0E113FC2"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2007</w:t>
            </w:r>
          </w:p>
        </w:tc>
        <w:tc>
          <w:tcPr>
            <w:tcW w:w="0" w:type="auto"/>
          </w:tcPr>
          <w:p w14:paraId="46C79E16"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Prospective</w:t>
            </w:r>
          </w:p>
          <w:p w14:paraId="73089D10" w14:textId="77777777" w:rsidR="00866C13" w:rsidRPr="00847A38" w:rsidRDefault="00866C13" w:rsidP="00847A38">
            <w:pPr>
              <w:rPr>
                <w:rFonts w:ascii="Times" w:hAnsi="Times"/>
                <w:sz w:val="20"/>
                <w:szCs w:val="20"/>
                <w:lang w:val="en-US"/>
              </w:rPr>
            </w:pPr>
          </w:p>
        </w:tc>
        <w:tc>
          <w:tcPr>
            <w:tcW w:w="0" w:type="auto"/>
          </w:tcPr>
          <w:p w14:paraId="2C7E5E4F"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29 (?)</w:t>
            </w:r>
          </w:p>
        </w:tc>
        <w:tc>
          <w:tcPr>
            <w:tcW w:w="2151" w:type="dxa"/>
          </w:tcPr>
          <w:p w14:paraId="06F4BAF8" w14:textId="35D11B07" w:rsidR="00866C13" w:rsidRPr="00847A38" w:rsidRDefault="00866C13" w:rsidP="00847A38">
            <w:pPr>
              <w:rPr>
                <w:rFonts w:ascii="Times" w:hAnsi="Times"/>
                <w:sz w:val="20"/>
                <w:szCs w:val="20"/>
                <w:lang w:val="en-US"/>
              </w:rPr>
            </w:pPr>
            <w:r w:rsidRPr="00847A38">
              <w:rPr>
                <w:rFonts w:ascii="Times" w:hAnsi="Times"/>
                <w:sz w:val="20"/>
                <w:szCs w:val="20"/>
                <w:lang w:val="en-US"/>
              </w:rPr>
              <w:t xml:space="preserve">Outcome. </w:t>
            </w:r>
            <w:r w:rsidR="00CD0DB5" w:rsidRPr="00847A38">
              <w:rPr>
                <w:rFonts w:ascii="Times" w:hAnsi="Times"/>
                <w:sz w:val="20"/>
                <w:szCs w:val="20"/>
                <w:lang w:val="en-US"/>
              </w:rPr>
              <w:t>Effect on f</w:t>
            </w:r>
            <w:r w:rsidRPr="00847A38">
              <w:rPr>
                <w:rFonts w:ascii="Times" w:hAnsi="Times"/>
                <w:sz w:val="20"/>
                <w:szCs w:val="20"/>
                <w:lang w:val="en-US"/>
              </w:rPr>
              <w:t>unction, psychosocial</w:t>
            </w:r>
            <w:r w:rsidR="00CD0DB5" w:rsidRPr="00847A38">
              <w:rPr>
                <w:rFonts w:ascii="Times" w:hAnsi="Times"/>
                <w:sz w:val="20"/>
                <w:szCs w:val="20"/>
                <w:lang w:val="en-US"/>
              </w:rPr>
              <w:t xml:space="preserve"> well-being, aesthetics</w:t>
            </w:r>
          </w:p>
        </w:tc>
        <w:tc>
          <w:tcPr>
            <w:tcW w:w="1427" w:type="dxa"/>
          </w:tcPr>
          <w:p w14:paraId="75B56D65" w14:textId="1FA8A085" w:rsidR="00866C13" w:rsidRPr="00847A38" w:rsidRDefault="00F261C5" w:rsidP="00847A38">
            <w:pPr>
              <w:rPr>
                <w:rFonts w:ascii="Times" w:hAnsi="Times"/>
                <w:sz w:val="20"/>
                <w:szCs w:val="20"/>
                <w:lang w:val="en-US"/>
              </w:rPr>
            </w:pPr>
            <w:r w:rsidRPr="00847A38">
              <w:rPr>
                <w:rFonts w:ascii="Times" w:hAnsi="Times"/>
                <w:sz w:val="20"/>
                <w:szCs w:val="20"/>
                <w:lang w:val="en-US"/>
              </w:rPr>
              <w:t>X</w:t>
            </w:r>
          </w:p>
        </w:tc>
        <w:tc>
          <w:tcPr>
            <w:tcW w:w="1281" w:type="dxa"/>
          </w:tcPr>
          <w:p w14:paraId="4C32A976" w14:textId="2322C611" w:rsidR="00866C13" w:rsidRPr="00847A38" w:rsidRDefault="00F261C5" w:rsidP="00847A38">
            <w:pPr>
              <w:rPr>
                <w:rFonts w:ascii="Times" w:hAnsi="Times"/>
                <w:sz w:val="20"/>
                <w:szCs w:val="20"/>
                <w:lang w:val="en-US"/>
              </w:rPr>
            </w:pPr>
            <w:r w:rsidRPr="00847A38">
              <w:rPr>
                <w:rFonts w:ascii="Times" w:hAnsi="Times"/>
                <w:sz w:val="20"/>
                <w:szCs w:val="20"/>
                <w:lang w:val="en-US"/>
              </w:rPr>
              <w:t>X</w:t>
            </w:r>
          </w:p>
        </w:tc>
        <w:tc>
          <w:tcPr>
            <w:tcW w:w="0" w:type="auto"/>
          </w:tcPr>
          <w:p w14:paraId="4E9BF1C0"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6 months</w:t>
            </w:r>
          </w:p>
        </w:tc>
      </w:tr>
      <w:tr w:rsidR="00866C13" w:rsidRPr="00847A38" w14:paraId="3304CC03" w14:textId="77777777" w:rsidTr="00847A38">
        <w:tc>
          <w:tcPr>
            <w:tcW w:w="0" w:type="auto"/>
          </w:tcPr>
          <w:p w14:paraId="52A62715" w14:textId="12042A51" w:rsidR="00866C13" w:rsidRPr="00847A38" w:rsidRDefault="00866C13" w:rsidP="00847A38">
            <w:pPr>
              <w:rPr>
                <w:rFonts w:ascii="Times" w:hAnsi="Times"/>
                <w:sz w:val="20"/>
                <w:szCs w:val="20"/>
                <w:lang w:val="en-US"/>
              </w:rPr>
            </w:pPr>
            <w:r w:rsidRPr="00847A38">
              <w:rPr>
                <w:rFonts w:ascii="Times" w:hAnsi="Times"/>
                <w:sz w:val="20"/>
                <w:szCs w:val="20"/>
                <w:lang w:val="en-US"/>
              </w:rPr>
              <w:t>Øland et al.</w:t>
            </w:r>
            <w:r w:rsidRPr="00847A38">
              <w:rPr>
                <w:rFonts w:ascii="Times" w:hAnsi="Times"/>
                <w:sz w:val="20"/>
                <w:szCs w:val="20"/>
                <w:lang w:val="en-US"/>
              </w:rPr>
              <w:fldChar w:fldCharType="begin" w:fldLock="1"/>
            </w:r>
            <w:r w:rsidR="00847A38" w:rsidRPr="00847A38">
              <w:rPr>
                <w:rFonts w:ascii="Times" w:hAnsi="Times"/>
                <w:sz w:val="20"/>
                <w:szCs w:val="20"/>
                <w:lang w:val="en-US"/>
              </w:rPr>
              <w:instrText>ADDIN CSL_CITATION { "citationItems" : [ { "id" : "ITEM-1", "itemData" : { "DOI" : "10.1016/j.joms.2010.07.077", "ISSN" : "1531-5053", "PMID" : "21095506", "abstract" : "PURPOSE: A study of surgical-orthodontic patients was performed to assess whether signs of personality patterns and psychologically defined clinical syndromes influenced patients' motives for treatment, perceived oral function, self-concept, social interaction, and overall satisfaction with treatment. PATIENTS AND METHODS: The sample consisted of 92 adult surgical-orthodontic patients. They filled out 3 questionnaires from Kiyak et al: one on motives for treatment; another on perceived oral function, self-concept, and social interaction; and a third on satisfaction with treatment outcome. The Millon Clinical Multiaxial Inventory III was used for classification of personality patterns and clinical syndromes. RESULTS: Patients with signs of a schizoid personality pattern expressed stronger presurgical motives than other patients. Concerning self-concept and social interaction, the patients showing signs of personality patterns and clinical syndromes, in general, perceived themselves as worse than the other patients. However, differences were only evident before treatment. Overall satisfaction was independent of the psychological profile. Histrionic and narcissistic personality patterns seemed to be overrepresented among surgical-orthodontic patients compared with the general population. CONCLUSION: Patients who showed signs of certain personality patterns and clinical syndromes improved most from treatment in terms of self-concept and social interaction, and such traits did not influence their degree of satisfaction.", "author" : [ { "dropping-particle" : "", "family" : "\u00d8land", "given" : "Jesper", "non-dropping-particle" : "", "parse-names" : false, "suffix" : "" }, { "dropping-particle" : "", "family" : "Jensen", "given" : "John", "non-dropping-particle" : "", "parse-names" : false, "suffix" : "" }, { "dropping-particle" : "", "family" : "Melsen", "given" : "Birte", "non-dropping-particle" : "", "parse-names" : false, "suffix" : "" }, { "dropping-particle" : "", "family" : "Elklit", "given" : "Ask", "non-dropping-particle" : "", "parse-names" : false, "suffix" : "" } ], "container-title" : "Journal of oral and maxillofacial surgery : official journal of the American Association of Oral and Maxillofacial Surgeons", "id" : "ITEM-1", "issue" : "12", "issued" : { "date-parts" : [ [ "2010", "12" ] ] }, "note" : "Unders\u00f8ger om graden er tilfredshed afh\u00e6nger af personalitet og psykiske tilstand.\nResultat: Graden af tilfredshed var ikke afh\u00e6ngig af personalitet og psykiske tilstand. OBS stemmer ikke overens med andre studier", "page" : "3007-14", "publisher" : "Elsevier Inc.", "title" : "Are personality patterns and clinical syndromes associated with patients' motives and perceived outcome of orthognathic surgery?", "type" : "article-journal", "volume" : "68" }, "uris" : [ "http://www.mendeley.com/documents/?uuid=ae0d3634-8075-40e2-a615-a25ca08a7982" ] } ], "mendeley" : { "formattedCitation" : "[11]", "plainTextFormattedCitation" : "[11]", "previouslyFormattedCitation" : "[11]" }, "properties" : { "noteIndex" : 0 }, "schema" : "https://github.com/citation-style-language/schema/raw/master/csl-citation.json" }</w:instrText>
            </w:r>
            <w:r w:rsidRPr="00847A38">
              <w:rPr>
                <w:rFonts w:ascii="Times" w:hAnsi="Times"/>
                <w:sz w:val="20"/>
                <w:szCs w:val="20"/>
                <w:lang w:val="en-US"/>
              </w:rPr>
              <w:fldChar w:fldCharType="separate"/>
            </w:r>
            <w:r w:rsidR="00847A38" w:rsidRPr="00847A38">
              <w:rPr>
                <w:rFonts w:ascii="Times" w:hAnsi="Times"/>
                <w:noProof/>
                <w:sz w:val="20"/>
                <w:szCs w:val="20"/>
                <w:lang w:val="en-US"/>
              </w:rPr>
              <w:t>[11]</w:t>
            </w:r>
            <w:r w:rsidRPr="00847A38">
              <w:rPr>
                <w:rFonts w:ascii="Times" w:hAnsi="Times"/>
                <w:sz w:val="20"/>
                <w:szCs w:val="20"/>
                <w:lang w:val="en-US"/>
              </w:rPr>
              <w:fldChar w:fldCharType="end"/>
            </w:r>
          </w:p>
        </w:tc>
        <w:tc>
          <w:tcPr>
            <w:tcW w:w="0" w:type="auto"/>
          </w:tcPr>
          <w:p w14:paraId="4B363316"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Denmark</w:t>
            </w:r>
          </w:p>
        </w:tc>
        <w:tc>
          <w:tcPr>
            <w:tcW w:w="0" w:type="auto"/>
          </w:tcPr>
          <w:p w14:paraId="7952A064"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2010</w:t>
            </w:r>
          </w:p>
        </w:tc>
        <w:tc>
          <w:tcPr>
            <w:tcW w:w="0" w:type="auto"/>
          </w:tcPr>
          <w:p w14:paraId="71E00E84"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Prospective</w:t>
            </w:r>
          </w:p>
        </w:tc>
        <w:tc>
          <w:tcPr>
            <w:tcW w:w="0" w:type="auto"/>
          </w:tcPr>
          <w:p w14:paraId="3B99D743"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92 (57W/35M)</w:t>
            </w:r>
          </w:p>
        </w:tc>
        <w:tc>
          <w:tcPr>
            <w:tcW w:w="2151" w:type="dxa"/>
          </w:tcPr>
          <w:p w14:paraId="17E4022E" w14:textId="4B8BDDC3" w:rsidR="00866C13" w:rsidRPr="00847A38" w:rsidRDefault="004C1444" w:rsidP="00847A38">
            <w:pPr>
              <w:rPr>
                <w:rFonts w:ascii="Times" w:hAnsi="Times"/>
                <w:sz w:val="20"/>
                <w:szCs w:val="20"/>
                <w:lang w:val="en-US"/>
              </w:rPr>
            </w:pPr>
            <w:r w:rsidRPr="00847A38">
              <w:rPr>
                <w:rFonts w:ascii="Times" w:hAnsi="Times"/>
                <w:sz w:val="20"/>
                <w:szCs w:val="20"/>
                <w:lang w:val="en-US"/>
              </w:rPr>
              <w:t>Outcome and motivation</w:t>
            </w:r>
            <w:r w:rsidR="00F261C5" w:rsidRPr="00847A38">
              <w:rPr>
                <w:rFonts w:ascii="Times" w:hAnsi="Times"/>
                <w:sz w:val="20"/>
                <w:szCs w:val="20"/>
                <w:lang w:val="en-US"/>
              </w:rPr>
              <w:t>. Effect on function and psychosocial well-being</w:t>
            </w:r>
          </w:p>
        </w:tc>
        <w:tc>
          <w:tcPr>
            <w:tcW w:w="1427" w:type="dxa"/>
          </w:tcPr>
          <w:p w14:paraId="21345436" w14:textId="2D91A2B3" w:rsidR="00866C13" w:rsidRPr="00847A38" w:rsidRDefault="00F261C5" w:rsidP="00847A38">
            <w:pPr>
              <w:rPr>
                <w:rFonts w:ascii="Times" w:hAnsi="Times"/>
                <w:sz w:val="20"/>
                <w:szCs w:val="20"/>
                <w:lang w:val="en-US"/>
              </w:rPr>
            </w:pPr>
            <w:r w:rsidRPr="00847A38">
              <w:rPr>
                <w:rFonts w:ascii="Times" w:hAnsi="Times"/>
                <w:sz w:val="20"/>
                <w:szCs w:val="20"/>
                <w:lang w:val="en-US"/>
              </w:rPr>
              <w:t>X</w:t>
            </w:r>
          </w:p>
        </w:tc>
        <w:tc>
          <w:tcPr>
            <w:tcW w:w="1281" w:type="dxa"/>
          </w:tcPr>
          <w:p w14:paraId="6F8F699D" w14:textId="77777777" w:rsidR="00866C13" w:rsidRPr="00847A38" w:rsidRDefault="00866C13" w:rsidP="00847A38">
            <w:pPr>
              <w:rPr>
                <w:rFonts w:ascii="Times" w:hAnsi="Times"/>
                <w:sz w:val="20"/>
                <w:szCs w:val="20"/>
                <w:lang w:val="en-US"/>
              </w:rPr>
            </w:pPr>
          </w:p>
        </w:tc>
        <w:tc>
          <w:tcPr>
            <w:tcW w:w="0" w:type="auto"/>
          </w:tcPr>
          <w:p w14:paraId="6BD3AF9B"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36 months</w:t>
            </w:r>
          </w:p>
        </w:tc>
      </w:tr>
      <w:tr w:rsidR="00866C13" w:rsidRPr="00847A38" w14:paraId="213CEE7E" w14:textId="77777777" w:rsidTr="00847A38">
        <w:tc>
          <w:tcPr>
            <w:tcW w:w="0" w:type="auto"/>
          </w:tcPr>
          <w:p w14:paraId="5A136EEC" w14:textId="35855602" w:rsidR="00866C13" w:rsidRPr="00847A38" w:rsidRDefault="00866C13" w:rsidP="00847A38">
            <w:pPr>
              <w:rPr>
                <w:rFonts w:ascii="Times" w:hAnsi="Times"/>
                <w:sz w:val="20"/>
                <w:szCs w:val="20"/>
                <w:lang w:val="en-US"/>
              </w:rPr>
            </w:pPr>
            <w:r w:rsidRPr="00847A38">
              <w:rPr>
                <w:rFonts w:ascii="Times" w:hAnsi="Times"/>
                <w:sz w:val="20"/>
                <w:szCs w:val="20"/>
                <w:lang w:val="en-US"/>
              </w:rPr>
              <w:t>Øland et al.</w:t>
            </w:r>
            <w:r w:rsidRPr="00847A38">
              <w:rPr>
                <w:rFonts w:ascii="Times" w:hAnsi="Times"/>
                <w:sz w:val="20"/>
                <w:szCs w:val="20"/>
                <w:lang w:val="en-US"/>
              </w:rPr>
              <w:fldChar w:fldCharType="begin" w:fldLock="1"/>
            </w:r>
            <w:r w:rsidR="00847A38" w:rsidRPr="00847A38">
              <w:rPr>
                <w:rFonts w:ascii="Times" w:hAnsi="Times"/>
                <w:sz w:val="20"/>
                <w:szCs w:val="20"/>
                <w:lang w:val="en-US"/>
              </w:rPr>
              <w:instrText>ADDIN CSL_CITATION { "citationItems" : [ { "id" : "ITEM-1", "itemData" : { "DOI" : "10.1016/j.joms.2010.01.025", "ISSN" : "1531-5053", "PMID" : "20619525", "abstract" : "PURPOSE: The aim of this study was to assess the influence of orthognathic surgery on patients' stomatognathic function and, further, to evaluate how post-treatment function relates to satisfaction.\n\nPATIENTS AND METHODS: A total of 118 adult patients (51 men and 67 women) who were treated with orthognathic surgery were examined before and a minimum of 12 months after the surgical intervention. The stomatognathic function was evaluated with Helkimo's Anamnestic and Clinical Dysfunction index. The former was also used to assess a control group of 47 individuals with the same age and gender distribution and with no history of or present need for orthodontic treatment.\n\nRESULTS: A total of 76 patients (64.4%) reported severe dysfunction at the beginning of the treatment, and 24 patients (20.3%) reported severe dysfunction at the end of the treatment. Clinical assessment showed that 36 patients (30.5%) had severe dysfunction symptoms upon inclusion versus only 5 (4.2%) at the final examination. However, 3 patients (2.5%) without clinical dysfunction at the time of inclusion developed mild dysfunction during treatment, and 8 patients (6.8%) developed increased dysfunction during treatment. The patients' functional status after treatment and their degree of satisfaction with the treatment were positively correlated. Although a general improvement was verified, the functional status of those who were treated never reached that of the control group.\n\nCONCLUSION: This study indicates that orthognathic surgery improves patients' stomatognathic function in most cases, and that patients' satisfaction correlated with perceived, reported, and measured function at the end of the treatment.", "author" : [ { "dropping-particle" : "", "family" : "\u00d8land", "given" : "Jesper", "non-dropping-particle" : "", "parse-names" : false, "suffix" : "" }, { "dropping-particle" : "", "family" : "Jensen", "given" : "John", "non-dropping-particle" : "", "parse-names" : false, "suffix" : "" }, { "dropping-particle" : "", "family" : "Melsen", "given" : "Birte", "non-dropping-particle" : "", "parse-names" : false, "suffix" : "" } ], "container-title" : "Journal of oral and maxillofacial surgery : official journal of the American Association of Oral and Maxillofacial Surgeons", "id" : "ITEM-1", "issue" : "9", "issued" : { "date-parts" : [ [ "2010", "9" ] ] }, "note" : "Form\u00e5l: unders\u00f8ge faktorer, som har signifikant indflydelse p\u00e5 k\u00e6befunk. efter ortokir.\n\n\nResultat: grad af dysfunk. relateret til tilfredshed postop.", "page" : "2221-31", "publisher" : "Elsevier Inc.", "title" : "Factors of importance for the functional outcome in orthognathic surgery patients: a prospective study of 118 patients.", "type" : "article-journal", "volume" : "68" }, "uris" : [ "http://www.mendeley.com/documents/?uuid=73e8383d-4d35-4d2d-b193-7e9c78c23a84" ] } ], "mendeley" : { "formattedCitation" : "[12]", "plainTextFormattedCitation" : "[12]", "previouslyFormattedCitation" : "[12]" }, "properties" : { "noteIndex" : 0 }, "schema" : "https://github.com/citation-style-language/schema/raw/master/csl-citation.json" }</w:instrText>
            </w:r>
            <w:r w:rsidRPr="00847A38">
              <w:rPr>
                <w:rFonts w:ascii="Times" w:hAnsi="Times"/>
                <w:sz w:val="20"/>
                <w:szCs w:val="20"/>
                <w:lang w:val="en-US"/>
              </w:rPr>
              <w:fldChar w:fldCharType="separate"/>
            </w:r>
            <w:r w:rsidR="00847A38" w:rsidRPr="00847A38">
              <w:rPr>
                <w:rFonts w:ascii="Times" w:hAnsi="Times"/>
                <w:noProof/>
                <w:sz w:val="20"/>
                <w:szCs w:val="20"/>
                <w:lang w:val="en-US"/>
              </w:rPr>
              <w:t>[12]</w:t>
            </w:r>
            <w:r w:rsidRPr="00847A38">
              <w:rPr>
                <w:rFonts w:ascii="Times" w:hAnsi="Times"/>
                <w:sz w:val="20"/>
                <w:szCs w:val="20"/>
                <w:lang w:val="en-US"/>
              </w:rPr>
              <w:fldChar w:fldCharType="end"/>
            </w:r>
          </w:p>
        </w:tc>
        <w:tc>
          <w:tcPr>
            <w:tcW w:w="0" w:type="auto"/>
          </w:tcPr>
          <w:p w14:paraId="369339CA"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Denmark</w:t>
            </w:r>
          </w:p>
        </w:tc>
        <w:tc>
          <w:tcPr>
            <w:tcW w:w="0" w:type="auto"/>
          </w:tcPr>
          <w:p w14:paraId="491CBCFE"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2010</w:t>
            </w:r>
          </w:p>
        </w:tc>
        <w:tc>
          <w:tcPr>
            <w:tcW w:w="0" w:type="auto"/>
          </w:tcPr>
          <w:p w14:paraId="6E8B4878"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Prospective</w:t>
            </w:r>
          </w:p>
        </w:tc>
        <w:tc>
          <w:tcPr>
            <w:tcW w:w="0" w:type="auto"/>
          </w:tcPr>
          <w:p w14:paraId="70680885"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118 (67W/51M)</w:t>
            </w:r>
          </w:p>
        </w:tc>
        <w:tc>
          <w:tcPr>
            <w:tcW w:w="2151" w:type="dxa"/>
          </w:tcPr>
          <w:p w14:paraId="621BC9EE" w14:textId="1498188C" w:rsidR="00866C13" w:rsidRPr="00847A38" w:rsidRDefault="00866C13" w:rsidP="00847A38">
            <w:pPr>
              <w:rPr>
                <w:rFonts w:ascii="Times" w:hAnsi="Times"/>
                <w:sz w:val="20"/>
                <w:szCs w:val="20"/>
                <w:lang w:val="en-US"/>
              </w:rPr>
            </w:pPr>
            <w:r w:rsidRPr="00847A38">
              <w:rPr>
                <w:rFonts w:ascii="Times" w:hAnsi="Times"/>
                <w:sz w:val="20"/>
                <w:szCs w:val="20"/>
                <w:lang w:val="en-US"/>
              </w:rPr>
              <w:t xml:space="preserve">Outcome. </w:t>
            </w:r>
            <w:r w:rsidR="00F261C5" w:rsidRPr="00847A38">
              <w:rPr>
                <w:rFonts w:ascii="Times" w:hAnsi="Times"/>
                <w:sz w:val="20"/>
                <w:szCs w:val="20"/>
                <w:lang w:val="en-US"/>
              </w:rPr>
              <w:t>Effect on f</w:t>
            </w:r>
            <w:r w:rsidRPr="00847A38">
              <w:rPr>
                <w:rFonts w:ascii="Times" w:hAnsi="Times"/>
                <w:sz w:val="20"/>
                <w:szCs w:val="20"/>
                <w:lang w:val="en-US"/>
              </w:rPr>
              <w:t>unction</w:t>
            </w:r>
            <w:r w:rsidR="00F261C5" w:rsidRPr="00847A38">
              <w:rPr>
                <w:rFonts w:ascii="Times" w:hAnsi="Times"/>
                <w:sz w:val="20"/>
                <w:szCs w:val="20"/>
                <w:lang w:val="en-US"/>
              </w:rPr>
              <w:t xml:space="preserve"> and psychosocial well-being</w:t>
            </w:r>
          </w:p>
        </w:tc>
        <w:tc>
          <w:tcPr>
            <w:tcW w:w="1427" w:type="dxa"/>
          </w:tcPr>
          <w:p w14:paraId="5F1E93CA" w14:textId="0815330D" w:rsidR="00866C13" w:rsidRPr="00847A38" w:rsidRDefault="00F261C5" w:rsidP="00847A38">
            <w:pPr>
              <w:rPr>
                <w:rFonts w:ascii="Times" w:hAnsi="Times"/>
                <w:sz w:val="20"/>
                <w:szCs w:val="20"/>
                <w:lang w:val="en-US"/>
              </w:rPr>
            </w:pPr>
            <w:r w:rsidRPr="00847A38">
              <w:rPr>
                <w:rFonts w:ascii="Times" w:hAnsi="Times"/>
                <w:sz w:val="20"/>
                <w:szCs w:val="20"/>
                <w:lang w:val="en-US"/>
              </w:rPr>
              <w:t>X</w:t>
            </w:r>
          </w:p>
        </w:tc>
        <w:tc>
          <w:tcPr>
            <w:tcW w:w="1281" w:type="dxa"/>
          </w:tcPr>
          <w:p w14:paraId="33188E8A" w14:textId="30542808" w:rsidR="00866C13" w:rsidRPr="00847A38" w:rsidRDefault="00F261C5" w:rsidP="00847A38">
            <w:pPr>
              <w:rPr>
                <w:rFonts w:ascii="Times" w:hAnsi="Times"/>
                <w:sz w:val="20"/>
                <w:szCs w:val="20"/>
                <w:lang w:val="en-US"/>
              </w:rPr>
            </w:pPr>
            <w:r w:rsidRPr="00847A38">
              <w:rPr>
                <w:rFonts w:ascii="Times" w:hAnsi="Times"/>
                <w:sz w:val="20"/>
                <w:szCs w:val="20"/>
                <w:lang w:val="en-US"/>
              </w:rPr>
              <w:t>X</w:t>
            </w:r>
          </w:p>
        </w:tc>
        <w:tc>
          <w:tcPr>
            <w:tcW w:w="0" w:type="auto"/>
          </w:tcPr>
          <w:p w14:paraId="50211C06"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12 months</w:t>
            </w:r>
          </w:p>
        </w:tc>
      </w:tr>
      <w:tr w:rsidR="00866C13" w:rsidRPr="00847A38" w14:paraId="163F5118" w14:textId="77777777" w:rsidTr="00847A38">
        <w:tc>
          <w:tcPr>
            <w:tcW w:w="0" w:type="auto"/>
          </w:tcPr>
          <w:p w14:paraId="39962939" w14:textId="05FAF73B" w:rsidR="00866C13" w:rsidRPr="00847A38" w:rsidRDefault="00866C13" w:rsidP="00847A38">
            <w:pPr>
              <w:rPr>
                <w:rFonts w:ascii="Times" w:hAnsi="Times"/>
                <w:sz w:val="20"/>
                <w:szCs w:val="20"/>
                <w:lang w:val="en-US"/>
              </w:rPr>
            </w:pPr>
            <w:r w:rsidRPr="00847A38">
              <w:rPr>
                <w:rFonts w:ascii="Times" w:hAnsi="Times"/>
                <w:sz w:val="20"/>
                <w:szCs w:val="20"/>
                <w:lang w:val="en-US"/>
              </w:rPr>
              <w:t>Dujoncquoy et al.</w:t>
            </w:r>
            <w:r w:rsidRPr="00847A38">
              <w:rPr>
                <w:rFonts w:ascii="Times" w:hAnsi="Times"/>
                <w:sz w:val="20"/>
                <w:szCs w:val="20"/>
                <w:lang w:val="en-US"/>
              </w:rPr>
              <w:fldChar w:fldCharType="begin" w:fldLock="1"/>
            </w:r>
            <w:r w:rsidR="00847A38" w:rsidRPr="00847A38">
              <w:rPr>
                <w:rFonts w:ascii="Times" w:hAnsi="Times"/>
                <w:sz w:val="20"/>
                <w:szCs w:val="20"/>
                <w:lang w:val="en-US"/>
              </w:rPr>
              <w:instrText>ADDIN CSL_CITATION { "citationItems" : [ { "id" : "ITEM-1", "itemData" : { "DOI" : "10.1186/1746-160X-6-27", "ISSN" : "1746-160X", "author" : [ { "dropping-particle" : "", "family" : "Dujoncquoy", "given" : "Jean-Pascal", "non-dropping-particle" : "", "parse-names" : false, "suffix" : "" }, { "dropping-particle" : "", "family" : "Ferri", "given" : "Jo\u00ebl", "non-dropping-particle" : "", "parse-names" : false, "suffix" : "" }, { "dropping-particle" : "", "family" : "Raoul", "given" : "Gw\u00e9nael", "non-dropping-particle" : "", "parse-names" : false, "suffix" : "" }, { "dropping-particle" : "", "family" : "Kleinheinz", "given" : "Johannes", "non-dropping-particle" : "", "parse-names" : false, "suffix" : "" } ], "container-title" : "Head &amp; Face Medicine", "id" : "ITEM-1", "issue" : "1", "issued" : { "date-parts" : [ [ "2010" ] ] }, "note" : "Outcome.\nSubj.Questionnaire. Functional", "page" : "27", "publisher" : "BioMed Central Ltd", "title" : "Temporomandibular joint dysfunction and orthognathic surgery: a retrospective study", "type" : "article-journal", "volume" : "6" }, "uris" : [ "http://www.mendeley.com/documents/?uuid=78b6842e-a1c0-4f6e-96f1-92daea55bd3c" ] } ], "mendeley" : { "formattedCitation" : "[13]", "plainTextFormattedCitation" : "[13]", "previouslyFormattedCitation" : "[13]" }, "properties" : { "noteIndex" : 0 }, "schema" : "https://github.com/citation-style-language/schema/raw/master/csl-citation.json" }</w:instrText>
            </w:r>
            <w:r w:rsidRPr="00847A38">
              <w:rPr>
                <w:rFonts w:ascii="Times" w:hAnsi="Times"/>
                <w:sz w:val="20"/>
                <w:szCs w:val="20"/>
                <w:lang w:val="en-US"/>
              </w:rPr>
              <w:fldChar w:fldCharType="separate"/>
            </w:r>
            <w:r w:rsidR="00847A38" w:rsidRPr="00847A38">
              <w:rPr>
                <w:rFonts w:ascii="Times" w:hAnsi="Times"/>
                <w:noProof/>
                <w:sz w:val="20"/>
                <w:szCs w:val="20"/>
                <w:lang w:val="en-US"/>
              </w:rPr>
              <w:t>[13]</w:t>
            </w:r>
            <w:r w:rsidRPr="00847A38">
              <w:rPr>
                <w:rFonts w:ascii="Times" w:hAnsi="Times"/>
                <w:sz w:val="20"/>
                <w:szCs w:val="20"/>
                <w:lang w:val="en-US"/>
              </w:rPr>
              <w:fldChar w:fldCharType="end"/>
            </w:r>
          </w:p>
        </w:tc>
        <w:tc>
          <w:tcPr>
            <w:tcW w:w="0" w:type="auto"/>
          </w:tcPr>
          <w:p w14:paraId="50B83431"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Germany</w:t>
            </w:r>
          </w:p>
        </w:tc>
        <w:tc>
          <w:tcPr>
            <w:tcW w:w="0" w:type="auto"/>
          </w:tcPr>
          <w:p w14:paraId="45B71664"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2010</w:t>
            </w:r>
          </w:p>
        </w:tc>
        <w:tc>
          <w:tcPr>
            <w:tcW w:w="0" w:type="auto"/>
          </w:tcPr>
          <w:p w14:paraId="1BE2C4F6"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Retrospective</w:t>
            </w:r>
          </w:p>
        </w:tc>
        <w:tc>
          <w:tcPr>
            <w:tcW w:w="0" w:type="auto"/>
          </w:tcPr>
          <w:p w14:paraId="65AAC18B"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57 (35W/22M)</w:t>
            </w:r>
          </w:p>
        </w:tc>
        <w:tc>
          <w:tcPr>
            <w:tcW w:w="2151" w:type="dxa"/>
          </w:tcPr>
          <w:p w14:paraId="62CFE9D4" w14:textId="13E8CFC0" w:rsidR="00866C13" w:rsidRPr="00847A38" w:rsidRDefault="00866C13" w:rsidP="00847A38">
            <w:pPr>
              <w:rPr>
                <w:rFonts w:ascii="Times" w:hAnsi="Times"/>
                <w:sz w:val="20"/>
                <w:szCs w:val="20"/>
                <w:lang w:val="en-US"/>
              </w:rPr>
            </w:pPr>
            <w:r w:rsidRPr="00847A38">
              <w:rPr>
                <w:rFonts w:ascii="Times" w:hAnsi="Times"/>
                <w:sz w:val="20"/>
                <w:szCs w:val="20"/>
                <w:lang w:val="en-US"/>
              </w:rPr>
              <w:t xml:space="preserve">Outcome. </w:t>
            </w:r>
            <w:r w:rsidR="00F261C5" w:rsidRPr="00847A38">
              <w:rPr>
                <w:rFonts w:ascii="Times" w:hAnsi="Times"/>
                <w:sz w:val="20"/>
                <w:szCs w:val="20"/>
                <w:lang w:val="en-US"/>
              </w:rPr>
              <w:t>Effect on TMJ dysfunction</w:t>
            </w:r>
            <w:r w:rsidRPr="00847A38">
              <w:rPr>
                <w:rFonts w:ascii="Times" w:hAnsi="Times"/>
                <w:sz w:val="20"/>
                <w:szCs w:val="20"/>
                <w:lang w:val="en-US"/>
              </w:rPr>
              <w:t xml:space="preserve"> </w:t>
            </w:r>
          </w:p>
        </w:tc>
        <w:tc>
          <w:tcPr>
            <w:tcW w:w="1427" w:type="dxa"/>
          </w:tcPr>
          <w:p w14:paraId="5D4A5F47"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X</w:t>
            </w:r>
          </w:p>
        </w:tc>
        <w:tc>
          <w:tcPr>
            <w:tcW w:w="1281" w:type="dxa"/>
          </w:tcPr>
          <w:p w14:paraId="09360AE7" w14:textId="77777777" w:rsidR="00866C13" w:rsidRPr="00847A38" w:rsidRDefault="00866C13" w:rsidP="00847A38">
            <w:pPr>
              <w:rPr>
                <w:rFonts w:ascii="Times" w:hAnsi="Times"/>
                <w:sz w:val="20"/>
                <w:szCs w:val="20"/>
                <w:lang w:val="en-US"/>
              </w:rPr>
            </w:pPr>
          </w:p>
        </w:tc>
        <w:tc>
          <w:tcPr>
            <w:tcW w:w="0" w:type="auto"/>
          </w:tcPr>
          <w:p w14:paraId="794CE6CD"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6-30 months</w:t>
            </w:r>
          </w:p>
        </w:tc>
      </w:tr>
      <w:tr w:rsidR="00866C13" w:rsidRPr="00847A38" w14:paraId="041C684A" w14:textId="77777777" w:rsidTr="00847A38">
        <w:tc>
          <w:tcPr>
            <w:tcW w:w="0" w:type="auto"/>
          </w:tcPr>
          <w:p w14:paraId="1616BAB2" w14:textId="20C569AB" w:rsidR="00866C13" w:rsidRPr="00847A38" w:rsidRDefault="00866C13" w:rsidP="00847A38">
            <w:pPr>
              <w:rPr>
                <w:rFonts w:ascii="Times" w:hAnsi="Times"/>
                <w:sz w:val="20"/>
                <w:szCs w:val="20"/>
                <w:lang w:val="en-US"/>
              </w:rPr>
            </w:pPr>
            <w:r w:rsidRPr="00847A38">
              <w:rPr>
                <w:rFonts w:ascii="Times" w:hAnsi="Times"/>
                <w:sz w:val="20"/>
                <w:szCs w:val="20"/>
                <w:lang w:val="en-US"/>
              </w:rPr>
              <w:t>Ponduri et al.</w:t>
            </w:r>
            <w:r w:rsidRPr="00847A38">
              <w:rPr>
                <w:rFonts w:ascii="Times" w:hAnsi="Times"/>
                <w:sz w:val="20"/>
                <w:szCs w:val="20"/>
                <w:lang w:val="en-US"/>
              </w:rPr>
              <w:fldChar w:fldCharType="begin" w:fldLock="1"/>
            </w:r>
            <w:r w:rsidR="00847A38" w:rsidRPr="00847A38">
              <w:rPr>
                <w:rFonts w:ascii="Times" w:hAnsi="Times"/>
                <w:sz w:val="20"/>
                <w:szCs w:val="20"/>
                <w:lang w:val="en-US"/>
              </w:rPr>
              <w:instrText>ADDIN CSL_CITATION { "citationItems" : [ { "id" : "ITEM-1", "itemData" : { "DOI" : "10.1016/j.bjoms.2010.03.009", "ISSN" : "1532-1940", "PMID" : "20451309", "abstract" : "The Peer Assessment Rating (PAR) index is commonly used to evaluate occlusal outcomes after orthodontic treatment. We compared the PAR outcomes of 40 consecutively treated orthodontic patients and 40 orthognathic patients to evaluate the standard of care given. A patient-centred questionnaire was used to examine patients' perceptions of the benefits of orthognathic treatment. PAR scores of orthodontic and orthognathic patients improved by a mean of 77% and 74%, respectively, after treatment indicating that excellent to good occlusal results were achieved for both groups. A high quality occlusal outcome is important for all patients as good intercuspation at the end of treatment is thought to improve stability. Most orthognathic patients reported improvements in their dental and facial appearance and thought that the treatment had been beneficial.", "author" : [ { "dropping-particle" : "", "family" : "Ponduri", "given" : "S", "non-dropping-particle" : "", "parse-names" : false, "suffix" : "" }, { "dropping-particle" : "", "family" : "Pringle", "given" : "A", "non-dropping-particle" : "", "parse-names" : false, "suffix" : "" }, { "dropping-particle" : "", "family" : "Illing", "given" : "H", "non-dropping-particle" : "", "parse-names" : false, "suffix" : "" }, { "dropping-particle" : "", "family" : "Brennan", "given" : "P A", "non-dropping-particle" : "", "parse-names" : false, "suffix" : "" } ], "container-title" : "The British journal of oral &amp; maxillofacial surgery", "id" : "ITEM-1", "issue" : "3", "issued" : { "date-parts" : [ [ "2011", "4" ] ] }, "note" : "Outcome.\nQuestionnaie. Subj. Mangler k\u00f8n, follow-up tid", "page" : "217-20", "title" : "Peer Assessment Rating (PAR) index outcomes for orthodontic and orthognathic surgery patients.", "type" : "article-journal", "volume" : "49" }, "uris" : [ "http://www.mendeley.com/documents/?uuid=26f593a3-7e2d-497f-9e75-0766232111ac" ] } ], "mendeley" : { "formattedCitation" : "[14]", "plainTextFormattedCitation" : "[14]", "previouslyFormattedCitation" : "[14]" }, "properties" : { "noteIndex" : 0 }, "schema" : "https://github.com/citation-style-language/schema/raw/master/csl-citation.json" }</w:instrText>
            </w:r>
            <w:r w:rsidRPr="00847A38">
              <w:rPr>
                <w:rFonts w:ascii="Times" w:hAnsi="Times"/>
                <w:sz w:val="20"/>
                <w:szCs w:val="20"/>
                <w:lang w:val="en-US"/>
              </w:rPr>
              <w:fldChar w:fldCharType="separate"/>
            </w:r>
            <w:r w:rsidR="00847A38" w:rsidRPr="00847A38">
              <w:rPr>
                <w:rFonts w:ascii="Times" w:hAnsi="Times"/>
                <w:noProof/>
                <w:sz w:val="20"/>
                <w:szCs w:val="20"/>
                <w:lang w:val="en-US"/>
              </w:rPr>
              <w:t>[14]</w:t>
            </w:r>
            <w:r w:rsidRPr="00847A38">
              <w:rPr>
                <w:rFonts w:ascii="Times" w:hAnsi="Times"/>
                <w:sz w:val="20"/>
                <w:szCs w:val="20"/>
                <w:lang w:val="en-US"/>
              </w:rPr>
              <w:fldChar w:fldCharType="end"/>
            </w:r>
          </w:p>
        </w:tc>
        <w:tc>
          <w:tcPr>
            <w:tcW w:w="0" w:type="auto"/>
          </w:tcPr>
          <w:p w14:paraId="01050241"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United Kingdom</w:t>
            </w:r>
          </w:p>
        </w:tc>
        <w:tc>
          <w:tcPr>
            <w:tcW w:w="0" w:type="auto"/>
          </w:tcPr>
          <w:p w14:paraId="383424F2"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2010</w:t>
            </w:r>
          </w:p>
        </w:tc>
        <w:tc>
          <w:tcPr>
            <w:tcW w:w="0" w:type="auto"/>
          </w:tcPr>
          <w:p w14:paraId="437A2DA2"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Retrospective</w:t>
            </w:r>
          </w:p>
        </w:tc>
        <w:tc>
          <w:tcPr>
            <w:tcW w:w="0" w:type="auto"/>
          </w:tcPr>
          <w:p w14:paraId="41357D5D"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23 (?)</w:t>
            </w:r>
          </w:p>
        </w:tc>
        <w:tc>
          <w:tcPr>
            <w:tcW w:w="2151" w:type="dxa"/>
          </w:tcPr>
          <w:p w14:paraId="3C1726A3" w14:textId="3ECF87CD" w:rsidR="00866C13" w:rsidRPr="00847A38" w:rsidRDefault="00866C13" w:rsidP="00847A38">
            <w:pPr>
              <w:rPr>
                <w:rFonts w:ascii="Times" w:hAnsi="Times"/>
                <w:sz w:val="20"/>
                <w:szCs w:val="20"/>
                <w:lang w:val="en-US"/>
              </w:rPr>
            </w:pPr>
            <w:r w:rsidRPr="00847A38">
              <w:rPr>
                <w:rFonts w:ascii="Times" w:hAnsi="Times"/>
                <w:sz w:val="20"/>
                <w:szCs w:val="20"/>
                <w:lang w:val="en-US"/>
              </w:rPr>
              <w:t xml:space="preserve">Outcome. </w:t>
            </w:r>
            <w:r w:rsidR="002169D9" w:rsidRPr="00847A38">
              <w:rPr>
                <w:rFonts w:ascii="Times" w:hAnsi="Times"/>
                <w:sz w:val="20"/>
                <w:szCs w:val="20"/>
                <w:lang w:val="en-US"/>
              </w:rPr>
              <w:t>Effect on function</w:t>
            </w:r>
            <w:r w:rsidRPr="00847A38">
              <w:rPr>
                <w:rFonts w:ascii="Times" w:hAnsi="Times"/>
                <w:sz w:val="20"/>
                <w:szCs w:val="20"/>
                <w:lang w:val="en-US"/>
              </w:rPr>
              <w:t>, psychosocial</w:t>
            </w:r>
            <w:r w:rsidR="002169D9" w:rsidRPr="00847A38">
              <w:rPr>
                <w:rFonts w:ascii="Times" w:hAnsi="Times"/>
                <w:sz w:val="20"/>
                <w:szCs w:val="20"/>
                <w:lang w:val="en-US"/>
              </w:rPr>
              <w:t xml:space="preserve"> well-being</w:t>
            </w:r>
            <w:r w:rsidRPr="00847A38">
              <w:rPr>
                <w:rFonts w:ascii="Times" w:hAnsi="Times"/>
                <w:sz w:val="20"/>
                <w:szCs w:val="20"/>
                <w:lang w:val="en-US"/>
              </w:rPr>
              <w:t>, aesthetics</w:t>
            </w:r>
          </w:p>
        </w:tc>
        <w:tc>
          <w:tcPr>
            <w:tcW w:w="1427" w:type="dxa"/>
          </w:tcPr>
          <w:p w14:paraId="5F320A7D"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X</w:t>
            </w:r>
          </w:p>
        </w:tc>
        <w:tc>
          <w:tcPr>
            <w:tcW w:w="1281" w:type="dxa"/>
          </w:tcPr>
          <w:p w14:paraId="1DC93DFF" w14:textId="77777777" w:rsidR="00866C13" w:rsidRPr="00847A38" w:rsidRDefault="00866C13" w:rsidP="00847A38">
            <w:pPr>
              <w:rPr>
                <w:rFonts w:ascii="Times" w:hAnsi="Times"/>
                <w:sz w:val="20"/>
                <w:szCs w:val="20"/>
                <w:lang w:val="en-US"/>
              </w:rPr>
            </w:pPr>
          </w:p>
        </w:tc>
        <w:tc>
          <w:tcPr>
            <w:tcW w:w="0" w:type="auto"/>
          </w:tcPr>
          <w:p w14:paraId="4C5C1848" w14:textId="51357D44" w:rsidR="00866C13" w:rsidRPr="00847A38" w:rsidRDefault="00355E1D" w:rsidP="00847A38">
            <w:pPr>
              <w:rPr>
                <w:rFonts w:ascii="Times" w:hAnsi="Times"/>
                <w:sz w:val="20"/>
                <w:szCs w:val="20"/>
                <w:lang w:val="en-US"/>
              </w:rPr>
            </w:pPr>
            <w:r>
              <w:rPr>
                <w:rFonts w:ascii="Times" w:hAnsi="Times"/>
                <w:sz w:val="20"/>
                <w:szCs w:val="20"/>
                <w:lang w:val="en-US"/>
              </w:rPr>
              <w:t>Not mentioned</w:t>
            </w:r>
          </w:p>
        </w:tc>
      </w:tr>
      <w:tr w:rsidR="00866C13" w:rsidRPr="00847A38" w14:paraId="3391C53B" w14:textId="77777777" w:rsidTr="00847A38">
        <w:tc>
          <w:tcPr>
            <w:tcW w:w="0" w:type="auto"/>
          </w:tcPr>
          <w:p w14:paraId="50D98219" w14:textId="51C1DC55" w:rsidR="00866C13" w:rsidRPr="00847A38" w:rsidRDefault="00866C13" w:rsidP="00847A38">
            <w:pPr>
              <w:rPr>
                <w:rFonts w:ascii="Times" w:hAnsi="Times"/>
                <w:sz w:val="20"/>
                <w:szCs w:val="20"/>
                <w:lang w:val="en-US"/>
              </w:rPr>
            </w:pPr>
            <w:r w:rsidRPr="00847A38">
              <w:rPr>
                <w:rFonts w:ascii="Times" w:hAnsi="Times"/>
                <w:sz w:val="20"/>
                <w:szCs w:val="20"/>
                <w:lang w:val="en-US"/>
              </w:rPr>
              <w:t>Øland et al.</w:t>
            </w:r>
            <w:r w:rsidRPr="00847A38">
              <w:rPr>
                <w:rFonts w:ascii="Times" w:hAnsi="Times"/>
                <w:sz w:val="20"/>
                <w:szCs w:val="20"/>
                <w:lang w:val="en-US"/>
              </w:rPr>
              <w:fldChar w:fldCharType="begin" w:fldLock="1"/>
            </w:r>
            <w:r w:rsidR="00847A38" w:rsidRPr="00847A38">
              <w:rPr>
                <w:rFonts w:ascii="Times" w:hAnsi="Times"/>
                <w:sz w:val="20"/>
                <w:szCs w:val="20"/>
                <w:lang w:val="en-US"/>
              </w:rPr>
              <w:instrText>ADDIN CSL_CITATION { "citationItems" : [ { "id" : "ITEM-1", "itemData" : { "DOI" : "10.1016/j.joms.2010.06.203", "ISSN" : "1531-5053", "PMID" : "21050649", "abstract" : "PURPOSE: A prospective, controlled study of consecutive surgical-orthodontic patients was performed to assess how treatment affects the patients' psychosocial well-being. We evaluated patients' treatment motivations and motive fulfillment in relation to their satisfaction with the treatment and assessed the correlation between their satisfaction and their psychosocial well-being. PATIENTS AND METHODS: A total of 118 adult patients (51 men and 67 women, mean age 25 years) who had undergone surgical-orthodontic treatment were examined before the preoperative orthodontic treatment and 12 months after surgery or later. The motives for treatment, fulfillment of those motives, psychosocial well-being, and degree of post-treatment satisfaction were assessed using questionnaires validated for Danish patients. A total of 47 age- and gender-matched subjects without any current or previous need for orthodontic or surgical-orthodontic treatment served as the controls. RESULTS: The patients stated oral function and appearance as their main treatment motives, and most reported that their motives had been fulfilled. Both their motives and the actual fulfillment of their motives influenced their treatment satisfaction. Another significant outcome of treatment was improved self-concept and social interaction. The more self-concept and social interaction were improved by treatment, the greater the post-treatment satisfaction the patients expressed. CONCLUSIONS: Surgical-orthodontic treatment has significant potential to improve patients' psychosocial well-being. Patients' satisfaction with treatment correlated with the post-treatment psychosocial status. However, pretreatment motives significantly influenced the overall satisfaction after treatment. Thus, patients who weighted oral function motives greatest expressed the lowest degree of treatment satisfaction.", "author" : [ { "dropping-particle" : "", "family" : "\u00d8land", "given" : "Jesper", "non-dropping-particle" : "", "parse-names" : false, "suffix" : "" }, { "dropping-particle" : "", "family" : "Jensen", "given" : "John", "non-dropping-particle" : "", "parse-names" : false, "suffix" : "" }, { "dropping-particle" : "", "family" : "Elklit", "given" : "Ask", "non-dropping-particle" : "", "parse-names" : false, "suffix" : "" }, { "dropping-particle" : "", "family" : "Melsen", "given" : "Birte", "non-dropping-particle" : "", "parse-names" : false, "suffix" : "" } ], "container-title" : "Journal of oral and maxillofacial surgery : official journal of the American Association of Oral and Maxillofacial Surgeons", "id" : "ITEM-1", "issue" : "1", "issued" : { "date-parts" : [ [ "2011", "1" ] ] }, "note" : "Sp\u00f8rgeskema (pr\u00e6op., postop. (12-24 mdr. (83.1%) og 24-36 mdr. (9.3%)).\n\n\nSammenligner forventning f\u00f8r og efter op.", "page" : "104-13", "publisher" : "Elsevier Inc.", "title" : "Motives for surgical-orthodontic treatment and effect of treatment on psychosocial well-being and satisfaction: a prospective study of 118 patients.", "type" : "article-journal", "volume" : "69" }, "uris" : [ "http://www.mendeley.com/documents/?uuid=7b5f9d4c-acfa-438e-905f-7566dda7bfac" ] } ], "mendeley" : { "formattedCitation" : "[15]", "plainTextFormattedCitation" : "[15]", "previouslyFormattedCitation" : "[15]" }, "properties" : { "noteIndex" : 0 }, "schema" : "https://github.com/citation-style-language/schema/raw/master/csl-citation.json" }</w:instrText>
            </w:r>
            <w:r w:rsidRPr="00847A38">
              <w:rPr>
                <w:rFonts w:ascii="Times" w:hAnsi="Times"/>
                <w:sz w:val="20"/>
                <w:szCs w:val="20"/>
                <w:lang w:val="en-US"/>
              </w:rPr>
              <w:fldChar w:fldCharType="separate"/>
            </w:r>
            <w:r w:rsidR="00847A38" w:rsidRPr="00847A38">
              <w:rPr>
                <w:rFonts w:ascii="Times" w:hAnsi="Times"/>
                <w:noProof/>
                <w:sz w:val="20"/>
                <w:szCs w:val="20"/>
                <w:lang w:val="en-US"/>
              </w:rPr>
              <w:t>[15]</w:t>
            </w:r>
            <w:r w:rsidRPr="00847A38">
              <w:rPr>
                <w:rFonts w:ascii="Times" w:hAnsi="Times"/>
                <w:sz w:val="20"/>
                <w:szCs w:val="20"/>
                <w:lang w:val="en-US"/>
              </w:rPr>
              <w:fldChar w:fldCharType="end"/>
            </w:r>
          </w:p>
        </w:tc>
        <w:tc>
          <w:tcPr>
            <w:tcW w:w="0" w:type="auto"/>
          </w:tcPr>
          <w:p w14:paraId="4360E128"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Denmark</w:t>
            </w:r>
          </w:p>
        </w:tc>
        <w:tc>
          <w:tcPr>
            <w:tcW w:w="0" w:type="auto"/>
          </w:tcPr>
          <w:p w14:paraId="76AAA0D5" w14:textId="52D91D6B" w:rsidR="00866C13" w:rsidRPr="00847A38" w:rsidRDefault="00866C13" w:rsidP="00847A38">
            <w:pPr>
              <w:rPr>
                <w:rFonts w:ascii="Times" w:hAnsi="Times"/>
                <w:sz w:val="20"/>
                <w:szCs w:val="20"/>
                <w:lang w:val="en-US"/>
              </w:rPr>
            </w:pPr>
            <w:r w:rsidRPr="00847A38">
              <w:rPr>
                <w:rFonts w:ascii="Times" w:hAnsi="Times"/>
                <w:sz w:val="20"/>
                <w:szCs w:val="20"/>
                <w:lang w:val="en-US"/>
              </w:rPr>
              <w:t>201</w:t>
            </w:r>
            <w:r w:rsidR="000B1105">
              <w:rPr>
                <w:rFonts w:ascii="Times" w:hAnsi="Times"/>
                <w:sz w:val="20"/>
                <w:szCs w:val="20"/>
                <w:lang w:val="en-US"/>
              </w:rPr>
              <w:t>1</w:t>
            </w:r>
          </w:p>
        </w:tc>
        <w:tc>
          <w:tcPr>
            <w:tcW w:w="0" w:type="auto"/>
          </w:tcPr>
          <w:p w14:paraId="0AE8FB66"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Prospective</w:t>
            </w:r>
          </w:p>
        </w:tc>
        <w:tc>
          <w:tcPr>
            <w:tcW w:w="0" w:type="auto"/>
          </w:tcPr>
          <w:p w14:paraId="270140D0"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118 (67W/51M)</w:t>
            </w:r>
          </w:p>
        </w:tc>
        <w:tc>
          <w:tcPr>
            <w:tcW w:w="2151" w:type="dxa"/>
          </w:tcPr>
          <w:p w14:paraId="76202D59" w14:textId="2DBF4434" w:rsidR="00866C13" w:rsidRPr="00847A38" w:rsidRDefault="00866C13" w:rsidP="00847A38">
            <w:pPr>
              <w:rPr>
                <w:rFonts w:ascii="Times" w:hAnsi="Times"/>
                <w:sz w:val="20"/>
                <w:szCs w:val="20"/>
                <w:lang w:val="en-US"/>
              </w:rPr>
            </w:pPr>
            <w:r w:rsidRPr="00847A38">
              <w:rPr>
                <w:rFonts w:ascii="Times" w:hAnsi="Times"/>
                <w:sz w:val="20"/>
                <w:szCs w:val="20"/>
                <w:lang w:val="en-US"/>
              </w:rPr>
              <w:t xml:space="preserve">Outcome. </w:t>
            </w:r>
            <w:r w:rsidR="00F261C5" w:rsidRPr="00847A38">
              <w:rPr>
                <w:rFonts w:ascii="Times" w:hAnsi="Times"/>
                <w:sz w:val="20"/>
                <w:szCs w:val="20"/>
                <w:lang w:val="en-US"/>
              </w:rPr>
              <w:t>Effect on function</w:t>
            </w:r>
            <w:r w:rsidRPr="00847A38">
              <w:rPr>
                <w:rFonts w:ascii="Times" w:hAnsi="Times"/>
                <w:sz w:val="20"/>
                <w:szCs w:val="20"/>
                <w:lang w:val="en-US"/>
              </w:rPr>
              <w:t xml:space="preserve"> </w:t>
            </w:r>
          </w:p>
        </w:tc>
        <w:tc>
          <w:tcPr>
            <w:tcW w:w="1427" w:type="dxa"/>
          </w:tcPr>
          <w:p w14:paraId="4B789B9A"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X</w:t>
            </w:r>
          </w:p>
        </w:tc>
        <w:tc>
          <w:tcPr>
            <w:tcW w:w="1281" w:type="dxa"/>
          </w:tcPr>
          <w:p w14:paraId="6CF64EEA" w14:textId="1DA85A3B" w:rsidR="00866C13" w:rsidRPr="00847A38" w:rsidRDefault="00F261C5" w:rsidP="00847A38">
            <w:pPr>
              <w:rPr>
                <w:rFonts w:ascii="Times" w:hAnsi="Times"/>
                <w:sz w:val="20"/>
                <w:szCs w:val="20"/>
                <w:lang w:val="en-US"/>
              </w:rPr>
            </w:pPr>
            <w:r w:rsidRPr="00847A38">
              <w:rPr>
                <w:rFonts w:ascii="Times" w:hAnsi="Times"/>
                <w:sz w:val="20"/>
                <w:szCs w:val="20"/>
                <w:lang w:val="en-US"/>
              </w:rPr>
              <w:t>X</w:t>
            </w:r>
          </w:p>
        </w:tc>
        <w:tc>
          <w:tcPr>
            <w:tcW w:w="0" w:type="auto"/>
          </w:tcPr>
          <w:p w14:paraId="403E5D65"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12-36 months</w:t>
            </w:r>
          </w:p>
        </w:tc>
      </w:tr>
      <w:tr w:rsidR="00866C13" w:rsidRPr="00847A38" w14:paraId="179367C2" w14:textId="77777777" w:rsidTr="00847A38">
        <w:tc>
          <w:tcPr>
            <w:tcW w:w="0" w:type="auto"/>
          </w:tcPr>
          <w:p w14:paraId="7A484498" w14:textId="0A52B73B" w:rsidR="00866C13" w:rsidRPr="00847A38" w:rsidRDefault="00866C13" w:rsidP="00847A38">
            <w:pPr>
              <w:rPr>
                <w:rFonts w:ascii="Times" w:hAnsi="Times"/>
                <w:sz w:val="20"/>
                <w:szCs w:val="20"/>
                <w:lang w:val="en-US"/>
              </w:rPr>
            </w:pPr>
            <w:r w:rsidRPr="00847A38">
              <w:rPr>
                <w:rFonts w:ascii="Times" w:hAnsi="Times"/>
                <w:sz w:val="20"/>
                <w:szCs w:val="20"/>
                <w:lang w:val="en-US"/>
              </w:rPr>
              <w:t>Al-Ahmad et al.</w:t>
            </w:r>
            <w:r w:rsidRPr="00847A38">
              <w:rPr>
                <w:rFonts w:ascii="Times" w:hAnsi="Times"/>
                <w:sz w:val="20"/>
                <w:szCs w:val="20"/>
                <w:lang w:val="en-US"/>
              </w:rPr>
              <w:fldChar w:fldCharType="begin" w:fldLock="1"/>
            </w:r>
            <w:r w:rsidR="00847A38" w:rsidRPr="00847A38">
              <w:rPr>
                <w:rFonts w:ascii="Times" w:hAnsi="Times"/>
                <w:sz w:val="20"/>
                <w:szCs w:val="20"/>
                <w:lang w:val="en-US"/>
              </w:rPr>
              <w:instrText>ADDIN CSL_CITATION { "citationItems" : [ { "id" : "ITEM-1", "itemData" : { "DOI" : "10.1016/j.oooo.2013.11.493", "ISSN" : "2212-4411", "PMID" : "24528790", "abstract" : "OBJECTIVE: This study investigated the effect of temporomandibular disorders on quality of life (QOL) of patients with dentofacial deformities.\n\nSTUDY DESIGN: A case-control study was performed involving 3 age- and gender-matched groups: 38 preoperative participants, 38 postoperative participants, and 39 control participants. Temporomandibular joints were assessed using the Research Diagnostic Criteria for Temporomandibular Disorders (RDC/TMD axis I), and QOL was assessed using the Orthognathic Quality of Life Questionnaire (OQLQ) and the Short-Form Health Survey (SF-36).\n\nRESULTS: Significantly lower OQLQ scores were found in postoperative patients with one or more RDC/TMD findings; the domains in which these occurred were mental health, dentofacial esthetics, and awareness of dentofacial esthetics for patients with myofascial pain; social aspects and awareness of dentofacial esthetics for patients with disk displacement with reduction; and all domains for patients with arthritis (all P &lt; .05).\n\nCONCLUSIONS: Despite the variable effect of orthognathic treatment on TMDs, the presence of TMDs in patients after treatment can have a negative effect on their QOL.", "author" : [ { "dropping-particle" : "", "family" : "Al-Ahmad", "given" : "Hazem T", "non-dropping-particle" : "", "parse-names" : false, "suffix" : "" }, { "dropping-particle" : "", "family" : "Al-Bitar", "given" : "Zaid B", "non-dropping-particle" : "", "parse-names" : false, "suffix" : "" } ], "container-title" : "Oral surgery, oral medicine, oral pathology and oral radiology", "id" : "ITEM-1", "issue" : "3", "issued" : { "date-parts" : [ [ "2014", "3" ] ] }, "page" : "293-301", "title" : "The effect of temporomandibular disorders on condition-specific quality of life in patients with dentofacial deformities.", "type" : "article-journal", "volume" : "117" }, "uris" : [ "http://www.mendeley.com/documents/?uuid=c50a42d1-2d89-4f74-a678-4af090936793" ] } ], "mendeley" : { "formattedCitation" : "[16]", "plainTextFormattedCitation" : "[16]", "previouslyFormattedCitation" : "[16]" }, "properties" : { "noteIndex" : 0 }, "schema" : "https://github.com/citation-style-language/schema/raw/master/csl-citation.json" }</w:instrText>
            </w:r>
            <w:r w:rsidRPr="00847A38">
              <w:rPr>
                <w:rFonts w:ascii="Times" w:hAnsi="Times"/>
                <w:sz w:val="20"/>
                <w:szCs w:val="20"/>
                <w:lang w:val="en-US"/>
              </w:rPr>
              <w:fldChar w:fldCharType="separate"/>
            </w:r>
            <w:r w:rsidR="00847A38" w:rsidRPr="00847A38">
              <w:rPr>
                <w:rFonts w:ascii="Times" w:hAnsi="Times"/>
                <w:noProof/>
                <w:sz w:val="20"/>
                <w:szCs w:val="20"/>
                <w:lang w:val="en-US"/>
              </w:rPr>
              <w:t>[16]</w:t>
            </w:r>
            <w:r w:rsidRPr="00847A38">
              <w:rPr>
                <w:rFonts w:ascii="Times" w:hAnsi="Times"/>
                <w:sz w:val="20"/>
                <w:szCs w:val="20"/>
                <w:lang w:val="en-US"/>
              </w:rPr>
              <w:fldChar w:fldCharType="end"/>
            </w:r>
          </w:p>
        </w:tc>
        <w:tc>
          <w:tcPr>
            <w:tcW w:w="0" w:type="auto"/>
          </w:tcPr>
          <w:p w14:paraId="417C6518"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Jordan</w:t>
            </w:r>
          </w:p>
        </w:tc>
        <w:tc>
          <w:tcPr>
            <w:tcW w:w="0" w:type="auto"/>
          </w:tcPr>
          <w:p w14:paraId="5C3F1685"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 xml:space="preserve">2014 </w:t>
            </w:r>
          </w:p>
        </w:tc>
        <w:tc>
          <w:tcPr>
            <w:tcW w:w="0" w:type="auto"/>
          </w:tcPr>
          <w:p w14:paraId="7B4FCD1F"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Retrospective (case-control)</w:t>
            </w:r>
          </w:p>
        </w:tc>
        <w:tc>
          <w:tcPr>
            <w:tcW w:w="0" w:type="auto"/>
          </w:tcPr>
          <w:p w14:paraId="3F7D122D"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39 (27W/13M)</w:t>
            </w:r>
          </w:p>
        </w:tc>
        <w:tc>
          <w:tcPr>
            <w:tcW w:w="2151" w:type="dxa"/>
          </w:tcPr>
          <w:p w14:paraId="3C2F2230" w14:textId="63044B46" w:rsidR="00866C13" w:rsidRPr="00847A38" w:rsidRDefault="00866C13" w:rsidP="00847A38">
            <w:pPr>
              <w:rPr>
                <w:rFonts w:ascii="Times" w:hAnsi="Times"/>
                <w:sz w:val="20"/>
                <w:szCs w:val="20"/>
                <w:lang w:val="en-US"/>
              </w:rPr>
            </w:pPr>
            <w:r w:rsidRPr="00847A38">
              <w:rPr>
                <w:rFonts w:ascii="Times" w:hAnsi="Times"/>
                <w:sz w:val="20"/>
                <w:szCs w:val="20"/>
                <w:lang w:val="en-US"/>
              </w:rPr>
              <w:t>Outcome. Funct</w:t>
            </w:r>
            <w:r w:rsidR="004C1444" w:rsidRPr="00847A38">
              <w:rPr>
                <w:rFonts w:ascii="Times" w:hAnsi="Times"/>
                <w:sz w:val="20"/>
                <w:szCs w:val="20"/>
                <w:lang w:val="en-US"/>
              </w:rPr>
              <w:t>ional, psychosocial, aesthetics</w:t>
            </w:r>
          </w:p>
        </w:tc>
        <w:tc>
          <w:tcPr>
            <w:tcW w:w="1427" w:type="dxa"/>
          </w:tcPr>
          <w:p w14:paraId="773F5D1B"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X</w:t>
            </w:r>
          </w:p>
        </w:tc>
        <w:tc>
          <w:tcPr>
            <w:tcW w:w="1281" w:type="dxa"/>
          </w:tcPr>
          <w:p w14:paraId="54E3D48F"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X</w:t>
            </w:r>
          </w:p>
        </w:tc>
        <w:tc>
          <w:tcPr>
            <w:tcW w:w="0" w:type="auto"/>
          </w:tcPr>
          <w:p w14:paraId="435E669D"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6-21 months</w:t>
            </w:r>
          </w:p>
        </w:tc>
      </w:tr>
    </w:tbl>
    <w:p w14:paraId="5FB7C12A" w14:textId="6EB0D706" w:rsidR="00A27A27" w:rsidRPr="00847A38" w:rsidRDefault="00A27A27">
      <w:pPr>
        <w:rPr>
          <w:rFonts w:ascii="Times" w:hAnsi="Times"/>
          <w:sz w:val="20"/>
          <w:szCs w:val="20"/>
          <w:lang w:val="en-US"/>
        </w:rPr>
      </w:pPr>
    </w:p>
    <w:p w14:paraId="101C0E3C" w14:textId="2F06A489" w:rsidR="00866C13" w:rsidRDefault="00866C13" w:rsidP="00866C13">
      <w:pPr>
        <w:divId w:val="114180001"/>
        <w:rPr>
          <w:rFonts w:ascii="Times" w:hAnsi="Times"/>
          <w:i/>
          <w:sz w:val="20"/>
          <w:szCs w:val="20"/>
          <w:lang w:val="en-US"/>
        </w:rPr>
      </w:pPr>
      <w:r w:rsidRPr="00847A38">
        <w:rPr>
          <w:rFonts w:ascii="Times" w:hAnsi="Times"/>
          <w:lang w:val="en-US"/>
        </w:rPr>
        <w:br w:type="column"/>
      </w:r>
      <w:r w:rsidR="000032EF" w:rsidRPr="000032EF">
        <w:rPr>
          <w:rFonts w:ascii="Times" w:hAnsi="Times"/>
          <w:i/>
          <w:sz w:val="20"/>
          <w:szCs w:val="20"/>
          <w:lang w:val="en-US"/>
        </w:rPr>
        <w:t>Table 3:</w:t>
      </w:r>
      <w:r w:rsidR="008E5D20" w:rsidRPr="008E5D20">
        <w:rPr>
          <w:rFonts w:ascii="Times" w:hAnsi="Times"/>
          <w:sz w:val="20"/>
          <w:szCs w:val="20"/>
          <w:lang w:val="en-US"/>
        </w:rPr>
        <w:t xml:space="preserve"> Included studies from bibliographic hand search.</w:t>
      </w:r>
    </w:p>
    <w:p w14:paraId="17EFCAA0" w14:textId="77777777" w:rsidR="008E5D20" w:rsidRPr="000032EF" w:rsidRDefault="008E5D20" w:rsidP="00866C13">
      <w:pPr>
        <w:divId w:val="114180001"/>
        <w:rPr>
          <w:rFonts w:ascii="Times" w:hAnsi="Times"/>
          <w:i/>
          <w:sz w:val="20"/>
          <w:szCs w:val="20"/>
          <w:lang w:val="en-US"/>
        </w:rPr>
      </w:pPr>
    </w:p>
    <w:tbl>
      <w:tblPr>
        <w:tblStyle w:val="Tabelgitter"/>
        <w:tblpPr w:leftFromText="141" w:rightFromText="141" w:vertAnchor="text" w:tblpY="1"/>
        <w:tblOverlap w:val="never"/>
        <w:tblW w:w="13654" w:type="dxa"/>
        <w:tblLook w:val="04A0" w:firstRow="1" w:lastRow="0" w:firstColumn="1" w:lastColumn="0" w:noHBand="0" w:noVBand="1"/>
      </w:tblPr>
      <w:tblGrid>
        <w:gridCol w:w="1440"/>
        <w:gridCol w:w="1034"/>
        <w:gridCol w:w="1318"/>
        <w:gridCol w:w="1318"/>
        <w:gridCol w:w="1918"/>
        <w:gridCol w:w="2151"/>
        <w:gridCol w:w="1427"/>
        <w:gridCol w:w="1281"/>
        <w:gridCol w:w="1767"/>
      </w:tblGrid>
      <w:tr w:rsidR="002B5B49" w:rsidRPr="00847A38" w14:paraId="142C8ECB" w14:textId="77777777" w:rsidTr="00847A38">
        <w:trPr>
          <w:divId w:val="114180001"/>
        </w:trPr>
        <w:tc>
          <w:tcPr>
            <w:tcW w:w="0" w:type="auto"/>
            <w:vMerge w:val="restart"/>
            <w:shd w:val="clear" w:color="auto" w:fill="95B3D7" w:themeFill="accent1" w:themeFillTint="99"/>
          </w:tcPr>
          <w:p w14:paraId="1F5AD716"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Author:</w:t>
            </w:r>
          </w:p>
        </w:tc>
        <w:tc>
          <w:tcPr>
            <w:tcW w:w="0" w:type="auto"/>
            <w:vMerge w:val="restart"/>
            <w:shd w:val="clear" w:color="auto" w:fill="95B3D7" w:themeFill="accent1" w:themeFillTint="99"/>
          </w:tcPr>
          <w:p w14:paraId="7AFA1ECF"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Country:</w:t>
            </w:r>
          </w:p>
        </w:tc>
        <w:tc>
          <w:tcPr>
            <w:tcW w:w="0" w:type="auto"/>
            <w:vMerge w:val="restart"/>
            <w:shd w:val="clear" w:color="auto" w:fill="95B3D7" w:themeFill="accent1" w:themeFillTint="99"/>
          </w:tcPr>
          <w:p w14:paraId="687CF7C3"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Year of publication:</w:t>
            </w:r>
          </w:p>
        </w:tc>
        <w:tc>
          <w:tcPr>
            <w:tcW w:w="0" w:type="auto"/>
            <w:vMerge w:val="restart"/>
            <w:shd w:val="clear" w:color="auto" w:fill="95B3D7" w:themeFill="accent1" w:themeFillTint="99"/>
          </w:tcPr>
          <w:p w14:paraId="1D39EAC1"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Study design:</w:t>
            </w:r>
          </w:p>
        </w:tc>
        <w:tc>
          <w:tcPr>
            <w:tcW w:w="0" w:type="auto"/>
            <w:vMerge w:val="restart"/>
            <w:shd w:val="clear" w:color="auto" w:fill="95B3D7" w:themeFill="accent1" w:themeFillTint="99"/>
          </w:tcPr>
          <w:p w14:paraId="51EFABB4"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Study group (W/M):</w:t>
            </w:r>
          </w:p>
        </w:tc>
        <w:tc>
          <w:tcPr>
            <w:tcW w:w="0" w:type="auto"/>
            <w:gridSpan w:val="3"/>
            <w:shd w:val="clear" w:color="auto" w:fill="95B3D7" w:themeFill="accent1" w:themeFillTint="99"/>
          </w:tcPr>
          <w:p w14:paraId="3F11BEAC" w14:textId="27749664" w:rsidR="00866C13" w:rsidRPr="00847A38" w:rsidRDefault="00866C13" w:rsidP="00847A38">
            <w:pPr>
              <w:rPr>
                <w:rFonts w:ascii="Times" w:hAnsi="Times"/>
                <w:sz w:val="20"/>
                <w:szCs w:val="20"/>
                <w:lang w:val="en-US"/>
              </w:rPr>
            </w:pPr>
            <w:r w:rsidRPr="00847A38">
              <w:rPr>
                <w:rFonts w:ascii="Times" w:hAnsi="Times"/>
                <w:sz w:val="20"/>
                <w:szCs w:val="20"/>
                <w:lang w:val="en-US"/>
              </w:rPr>
              <w:t>Methods/measurements:</w:t>
            </w:r>
          </w:p>
        </w:tc>
        <w:tc>
          <w:tcPr>
            <w:tcW w:w="0" w:type="auto"/>
            <w:vMerge w:val="restart"/>
            <w:shd w:val="clear" w:color="auto" w:fill="95B3D7" w:themeFill="accent1" w:themeFillTint="99"/>
          </w:tcPr>
          <w:p w14:paraId="26CCA6ED" w14:textId="360F80F5" w:rsidR="00866C13" w:rsidRPr="00847A38" w:rsidRDefault="002B5B49" w:rsidP="00847A38">
            <w:pPr>
              <w:rPr>
                <w:rFonts w:ascii="Times" w:hAnsi="Times"/>
                <w:sz w:val="20"/>
                <w:szCs w:val="20"/>
                <w:lang w:val="en-US"/>
              </w:rPr>
            </w:pPr>
            <w:r w:rsidRPr="00847A38">
              <w:rPr>
                <w:rFonts w:ascii="Times" w:hAnsi="Times"/>
                <w:sz w:val="20"/>
                <w:szCs w:val="20"/>
                <w:shd w:val="clear" w:color="auto" w:fill="8DB3E2" w:themeFill="text2" w:themeFillTint="66"/>
                <w:lang w:val="en-US"/>
              </w:rPr>
              <w:t>Maximum o</w:t>
            </w:r>
            <w:r w:rsidR="00866C13" w:rsidRPr="00847A38">
              <w:rPr>
                <w:rFonts w:ascii="Times" w:hAnsi="Times"/>
                <w:sz w:val="20"/>
                <w:szCs w:val="20"/>
                <w:shd w:val="clear" w:color="auto" w:fill="8DB3E2" w:themeFill="text2" w:themeFillTint="66"/>
                <w:lang w:val="en-US"/>
              </w:rPr>
              <w:t>bservation period (time</w:t>
            </w:r>
            <w:r w:rsidR="00866C13" w:rsidRPr="00847A38">
              <w:rPr>
                <w:rFonts w:ascii="Times" w:hAnsi="Times"/>
                <w:sz w:val="20"/>
                <w:szCs w:val="20"/>
                <w:lang w:val="en-US"/>
              </w:rPr>
              <w:t xml:space="preserve"> after OS):</w:t>
            </w:r>
          </w:p>
        </w:tc>
      </w:tr>
      <w:tr w:rsidR="002B5B49" w:rsidRPr="00847A38" w14:paraId="26453841" w14:textId="77777777" w:rsidTr="00847A38">
        <w:trPr>
          <w:divId w:val="114180001"/>
        </w:trPr>
        <w:tc>
          <w:tcPr>
            <w:tcW w:w="0" w:type="auto"/>
            <w:vMerge/>
            <w:shd w:val="clear" w:color="auto" w:fill="95B3D7" w:themeFill="accent1" w:themeFillTint="99"/>
          </w:tcPr>
          <w:p w14:paraId="0C6EBA2C" w14:textId="77777777" w:rsidR="00866C13" w:rsidRPr="00847A38" w:rsidRDefault="00866C13" w:rsidP="00847A38">
            <w:pPr>
              <w:rPr>
                <w:rFonts w:ascii="Times" w:hAnsi="Times"/>
                <w:sz w:val="20"/>
                <w:szCs w:val="20"/>
                <w:lang w:val="en-US"/>
              </w:rPr>
            </w:pPr>
          </w:p>
        </w:tc>
        <w:tc>
          <w:tcPr>
            <w:tcW w:w="0" w:type="auto"/>
            <w:vMerge/>
            <w:shd w:val="clear" w:color="auto" w:fill="95B3D7" w:themeFill="accent1" w:themeFillTint="99"/>
          </w:tcPr>
          <w:p w14:paraId="0EE8D4D9" w14:textId="77777777" w:rsidR="00866C13" w:rsidRPr="00847A38" w:rsidRDefault="00866C13" w:rsidP="00847A38">
            <w:pPr>
              <w:rPr>
                <w:rFonts w:ascii="Times" w:hAnsi="Times"/>
                <w:sz w:val="20"/>
                <w:szCs w:val="20"/>
                <w:lang w:val="en-US"/>
              </w:rPr>
            </w:pPr>
          </w:p>
        </w:tc>
        <w:tc>
          <w:tcPr>
            <w:tcW w:w="0" w:type="auto"/>
            <w:vMerge/>
            <w:shd w:val="clear" w:color="auto" w:fill="95B3D7" w:themeFill="accent1" w:themeFillTint="99"/>
          </w:tcPr>
          <w:p w14:paraId="153A386A" w14:textId="77777777" w:rsidR="00866C13" w:rsidRPr="00847A38" w:rsidRDefault="00866C13" w:rsidP="00847A38">
            <w:pPr>
              <w:rPr>
                <w:rFonts w:ascii="Times" w:hAnsi="Times"/>
                <w:sz w:val="20"/>
                <w:szCs w:val="20"/>
                <w:lang w:val="en-US"/>
              </w:rPr>
            </w:pPr>
          </w:p>
        </w:tc>
        <w:tc>
          <w:tcPr>
            <w:tcW w:w="0" w:type="auto"/>
            <w:vMerge/>
            <w:shd w:val="clear" w:color="auto" w:fill="95B3D7" w:themeFill="accent1" w:themeFillTint="99"/>
          </w:tcPr>
          <w:p w14:paraId="7592FB18" w14:textId="77777777" w:rsidR="00866C13" w:rsidRPr="00847A38" w:rsidRDefault="00866C13" w:rsidP="00847A38">
            <w:pPr>
              <w:rPr>
                <w:rFonts w:ascii="Times" w:hAnsi="Times"/>
                <w:sz w:val="20"/>
                <w:szCs w:val="20"/>
                <w:lang w:val="en-US"/>
              </w:rPr>
            </w:pPr>
          </w:p>
        </w:tc>
        <w:tc>
          <w:tcPr>
            <w:tcW w:w="0" w:type="auto"/>
            <w:vMerge/>
            <w:shd w:val="clear" w:color="auto" w:fill="95B3D7" w:themeFill="accent1" w:themeFillTint="99"/>
          </w:tcPr>
          <w:p w14:paraId="22B7B797" w14:textId="77777777" w:rsidR="00866C13" w:rsidRPr="00847A38" w:rsidRDefault="00866C13" w:rsidP="00847A38">
            <w:pPr>
              <w:rPr>
                <w:rFonts w:ascii="Times" w:hAnsi="Times"/>
                <w:sz w:val="20"/>
                <w:szCs w:val="20"/>
                <w:lang w:val="en-US"/>
              </w:rPr>
            </w:pPr>
          </w:p>
        </w:tc>
        <w:tc>
          <w:tcPr>
            <w:tcW w:w="2151" w:type="dxa"/>
            <w:shd w:val="clear" w:color="auto" w:fill="95B3D7" w:themeFill="accent1" w:themeFillTint="99"/>
          </w:tcPr>
          <w:p w14:paraId="7D0AD6AC" w14:textId="0E993AE2" w:rsidR="00866C13" w:rsidRPr="00847A38" w:rsidRDefault="00AD29D9" w:rsidP="00847A38">
            <w:pPr>
              <w:rPr>
                <w:rFonts w:ascii="Times" w:hAnsi="Times"/>
                <w:sz w:val="20"/>
                <w:szCs w:val="20"/>
                <w:lang w:val="en-US"/>
              </w:rPr>
            </w:pPr>
            <w:r w:rsidRPr="00847A38">
              <w:rPr>
                <w:rFonts w:ascii="Times" w:hAnsi="Times"/>
                <w:sz w:val="20"/>
                <w:szCs w:val="20"/>
                <w:lang w:val="en-US"/>
              </w:rPr>
              <w:t>Aim of study:</w:t>
            </w:r>
          </w:p>
        </w:tc>
        <w:tc>
          <w:tcPr>
            <w:tcW w:w="1427" w:type="dxa"/>
            <w:shd w:val="clear" w:color="auto" w:fill="95B3D7" w:themeFill="accent1" w:themeFillTint="99"/>
          </w:tcPr>
          <w:p w14:paraId="23DA74E1"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Questionnaire</w:t>
            </w:r>
          </w:p>
        </w:tc>
        <w:tc>
          <w:tcPr>
            <w:tcW w:w="1281" w:type="dxa"/>
            <w:shd w:val="clear" w:color="auto" w:fill="95B3D7" w:themeFill="accent1" w:themeFillTint="99"/>
          </w:tcPr>
          <w:p w14:paraId="0EC2A0E7"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Clinical examination</w:t>
            </w:r>
          </w:p>
        </w:tc>
        <w:tc>
          <w:tcPr>
            <w:tcW w:w="0" w:type="auto"/>
            <w:vMerge/>
            <w:shd w:val="clear" w:color="auto" w:fill="95B3D7" w:themeFill="accent1" w:themeFillTint="99"/>
          </w:tcPr>
          <w:p w14:paraId="5BA36421" w14:textId="77777777" w:rsidR="00866C13" w:rsidRPr="00847A38" w:rsidRDefault="00866C13" w:rsidP="00847A38">
            <w:pPr>
              <w:rPr>
                <w:rFonts w:ascii="Times" w:hAnsi="Times"/>
                <w:sz w:val="20"/>
                <w:szCs w:val="20"/>
                <w:lang w:val="en-US"/>
              </w:rPr>
            </w:pPr>
          </w:p>
        </w:tc>
      </w:tr>
      <w:tr w:rsidR="002B5B49" w:rsidRPr="00847A38" w14:paraId="7E18095A" w14:textId="77777777" w:rsidTr="00847A38">
        <w:trPr>
          <w:divId w:val="114180001"/>
        </w:trPr>
        <w:tc>
          <w:tcPr>
            <w:tcW w:w="0" w:type="auto"/>
          </w:tcPr>
          <w:p w14:paraId="488BEF87" w14:textId="4865A315" w:rsidR="00866C13" w:rsidRPr="00847A38" w:rsidRDefault="00866C13" w:rsidP="00847A38">
            <w:pPr>
              <w:rPr>
                <w:rFonts w:ascii="Times" w:hAnsi="Times"/>
                <w:sz w:val="20"/>
                <w:szCs w:val="20"/>
                <w:lang w:val="en-US"/>
              </w:rPr>
            </w:pPr>
            <w:r w:rsidRPr="00847A38">
              <w:rPr>
                <w:rFonts w:ascii="Times" w:hAnsi="Times"/>
                <w:sz w:val="20"/>
                <w:szCs w:val="20"/>
                <w:lang w:val="en-US"/>
              </w:rPr>
              <w:t>Peacock et al.</w:t>
            </w:r>
            <w:r w:rsidRPr="00847A38">
              <w:rPr>
                <w:rFonts w:ascii="Times" w:hAnsi="Times"/>
                <w:sz w:val="20"/>
                <w:szCs w:val="20"/>
                <w:lang w:val="en-US"/>
              </w:rPr>
              <w:fldChar w:fldCharType="begin" w:fldLock="1"/>
            </w:r>
            <w:r w:rsidR="00847A38" w:rsidRPr="00847A38">
              <w:rPr>
                <w:rFonts w:ascii="Times" w:hAnsi="Times"/>
                <w:sz w:val="20"/>
                <w:szCs w:val="20"/>
                <w:lang w:val="en-US"/>
              </w:rPr>
              <w:instrText>ADDIN CSL_CITATION { "citationItems" : [ { "id" : "ITEM-1", "itemData" : { "DOI" : "10.1016/j.joms.2014.03.020", "ISSN" : "1531-5053", "PMID" : "24836418", "abstract" : "PURPOSE: To assess indications, incidence, patient experience, and outcomes of orthognathic surgery in patients over 40 years of age.\n\nPATIENTS AND METHODS: This was a retrospective cohort study of all patients who underwent orthognathic surgical procedures at Massachusetts General Hospital from 1995 to 2012. Demographic variables, including age, gender, indications, date, and type of operation, were documented. Patients were divided into 2 groups by date of operation: 1) 1995 to 2002 and 2) 2003 to 2012. The predictor variable was age (&gt;40 vs &lt;40 yr). Outcome variables included indications for treatment, date of operation, length of hospital stay, and removal of hardware.\n\nRESULTS: During the study period, 1,420 patients underwent 2,170 procedures; 911 patients (1,343 procedures) met the inclusion criteria. Group 1 consisted of 260 subjects (346 procedures, 35 patients \u226540 yr old, 13.5%) and group 2 consisted of 651 subjects (997 procedures, 89 patients \u226540 yr old, 13.8%). Subjects over 40 had longer hospital stays (P \u2264 .0001) than those under 40. Indications for men were more frequently functional problems, whereas women sought esthetic improvements (P\u00a0= .0001). Subjects over 40 were 2.51, 2.44, and 2.72 times more likely to require hardware removal 6 months (P\u00a0= .0245), 12 months (P\u00a0= .0073), and 24 months (P\u00a0= .0003) postoperatively than those younger than\u00a040.\n\nCONCLUSION: Motivation to undergo orthognathic surgery varies by age and gender. Older patients, particularly men, tend to seek treatment for functional rather than esthetic reasons. Patients older than 40 years had longer hospital stays and an increased rate of postoperative hardware removal.", "author" : [ { "dropping-particle" : "", "family" : "Peacock", "given" : "Zachary S", "non-dropping-particle" : "", "parse-names" : false, "suffix" : "" }, { "dropping-particle" : "", "family" : "Lee", "given" : "Cameron C Y", "non-dropping-particle" : "", "parse-names" : false, "suffix" : "" }, { "dropping-particle" : "", "family" : "Klein", "given" : "Katherine P", "non-dropping-particle" : "", "parse-names" : false, "suffix" : "" }, { "dropping-particle" : "", "family" : "Kaban", "given" : "Leonard B", "non-dropping-particle" : "", "parse-names" : false, "suffix" : "" } ], "container-title" : "Journal of oral and maxillofacial surgery : official journal of the American Association of Oral and Maxillofacial Surgeons", "id" : "ITEM-1", "issue" : "10", "issued" : { "date-parts" : [ [ "2014", "10" ] ] }, "note" : "Web-based research. Pubmed + scopus", "page" : "1995-2004", "title" : "Orthognathic surgery in patients over 40 years of age: indications and special considerations.", "type" : "article-journal", "volume" : "72" }, "uris" : [ "http://www.mendeley.com/documents/?uuid=c77f4825-d077-4628-99e5-09ce440790a9" ] } ], "mendeley" : { "formattedCitation" : "[17]", "plainTextFormattedCitation" : "[17]", "previouslyFormattedCitation" : "[17]" }, "properties" : { "noteIndex" : 0 }, "schema" : "https://github.com/citation-style-language/schema/raw/master/csl-citation.json" }</w:instrText>
            </w:r>
            <w:r w:rsidRPr="00847A38">
              <w:rPr>
                <w:rFonts w:ascii="Times" w:hAnsi="Times"/>
                <w:sz w:val="20"/>
                <w:szCs w:val="20"/>
                <w:lang w:val="en-US"/>
              </w:rPr>
              <w:fldChar w:fldCharType="separate"/>
            </w:r>
            <w:r w:rsidR="00847A38" w:rsidRPr="00847A38">
              <w:rPr>
                <w:rFonts w:ascii="Times" w:hAnsi="Times"/>
                <w:noProof/>
                <w:sz w:val="20"/>
                <w:szCs w:val="20"/>
                <w:lang w:val="en-US"/>
              </w:rPr>
              <w:t>[17]</w:t>
            </w:r>
            <w:r w:rsidRPr="00847A38">
              <w:rPr>
                <w:rFonts w:ascii="Times" w:hAnsi="Times"/>
                <w:sz w:val="20"/>
                <w:szCs w:val="20"/>
                <w:lang w:val="en-US"/>
              </w:rPr>
              <w:fldChar w:fldCharType="end"/>
            </w:r>
          </w:p>
        </w:tc>
        <w:tc>
          <w:tcPr>
            <w:tcW w:w="0" w:type="auto"/>
          </w:tcPr>
          <w:p w14:paraId="3B70E6AF" w14:textId="699617F9" w:rsidR="00866C13" w:rsidRPr="00847A38" w:rsidRDefault="00866C13" w:rsidP="00847A38">
            <w:pPr>
              <w:rPr>
                <w:rFonts w:ascii="Times" w:hAnsi="Times"/>
                <w:sz w:val="20"/>
                <w:szCs w:val="20"/>
                <w:lang w:val="en-US"/>
              </w:rPr>
            </w:pPr>
            <w:r w:rsidRPr="00847A38">
              <w:rPr>
                <w:rFonts w:ascii="Times" w:hAnsi="Times"/>
                <w:sz w:val="20"/>
                <w:szCs w:val="20"/>
                <w:lang w:val="en-US"/>
              </w:rPr>
              <w:t>United States</w:t>
            </w:r>
          </w:p>
        </w:tc>
        <w:tc>
          <w:tcPr>
            <w:tcW w:w="0" w:type="auto"/>
          </w:tcPr>
          <w:p w14:paraId="754E9CD7" w14:textId="50856212" w:rsidR="00866C13" w:rsidRPr="00847A38" w:rsidRDefault="00866C13" w:rsidP="00847A38">
            <w:pPr>
              <w:rPr>
                <w:rFonts w:ascii="Times" w:hAnsi="Times"/>
                <w:sz w:val="20"/>
                <w:szCs w:val="20"/>
                <w:lang w:val="en-US"/>
              </w:rPr>
            </w:pPr>
            <w:r w:rsidRPr="00847A38">
              <w:rPr>
                <w:rFonts w:ascii="Times" w:hAnsi="Times"/>
                <w:sz w:val="20"/>
                <w:szCs w:val="20"/>
                <w:lang w:val="en-US"/>
              </w:rPr>
              <w:t>2014</w:t>
            </w:r>
          </w:p>
        </w:tc>
        <w:tc>
          <w:tcPr>
            <w:tcW w:w="0" w:type="auto"/>
          </w:tcPr>
          <w:p w14:paraId="370B4FD9" w14:textId="52B65A2B" w:rsidR="00866C13" w:rsidRPr="00847A38" w:rsidRDefault="00866C13" w:rsidP="00847A38">
            <w:pPr>
              <w:rPr>
                <w:rFonts w:ascii="Times" w:hAnsi="Times"/>
                <w:sz w:val="20"/>
                <w:szCs w:val="20"/>
                <w:lang w:val="en-US"/>
              </w:rPr>
            </w:pPr>
            <w:r w:rsidRPr="00847A38">
              <w:rPr>
                <w:rFonts w:ascii="Times" w:hAnsi="Times"/>
                <w:sz w:val="20"/>
                <w:szCs w:val="20"/>
                <w:lang w:val="en-US"/>
              </w:rPr>
              <w:t>Retrospective</w:t>
            </w:r>
          </w:p>
        </w:tc>
        <w:tc>
          <w:tcPr>
            <w:tcW w:w="0" w:type="auto"/>
          </w:tcPr>
          <w:p w14:paraId="34AAD49F" w14:textId="44980EF4" w:rsidR="00866C13" w:rsidRPr="00847A38" w:rsidRDefault="00866C13" w:rsidP="00847A38">
            <w:pPr>
              <w:rPr>
                <w:rFonts w:ascii="Times" w:hAnsi="Times"/>
                <w:sz w:val="20"/>
                <w:szCs w:val="20"/>
                <w:lang w:val="en-US"/>
              </w:rPr>
            </w:pPr>
            <w:r w:rsidRPr="00847A38">
              <w:rPr>
                <w:rFonts w:ascii="Times" w:hAnsi="Times"/>
                <w:sz w:val="20"/>
                <w:szCs w:val="20"/>
                <w:lang w:val="en-US"/>
              </w:rPr>
              <w:t>911 (476W/435M)</w:t>
            </w:r>
          </w:p>
        </w:tc>
        <w:tc>
          <w:tcPr>
            <w:tcW w:w="2151" w:type="dxa"/>
          </w:tcPr>
          <w:p w14:paraId="18AB9B0D" w14:textId="2CCD68BA" w:rsidR="00866C13" w:rsidRPr="00847A38" w:rsidRDefault="00865587" w:rsidP="00847A38">
            <w:pPr>
              <w:rPr>
                <w:rFonts w:ascii="Times" w:hAnsi="Times"/>
                <w:sz w:val="20"/>
                <w:szCs w:val="20"/>
                <w:lang w:val="en-US"/>
              </w:rPr>
            </w:pPr>
            <w:r w:rsidRPr="00847A38">
              <w:rPr>
                <w:rFonts w:ascii="Times" w:hAnsi="Times"/>
                <w:sz w:val="20"/>
                <w:szCs w:val="20"/>
                <w:lang w:val="en-US"/>
              </w:rPr>
              <w:t>Motivation</w:t>
            </w:r>
            <w:r w:rsidR="00866C13" w:rsidRPr="00847A38">
              <w:rPr>
                <w:rFonts w:ascii="Times" w:hAnsi="Times"/>
                <w:sz w:val="20"/>
                <w:szCs w:val="20"/>
                <w:lang w:val="en-US"/>
              </w:rPr>
              <w:t>. Functional, aesthetic</w:t>
            </w:r>
          </w:p>
        </w:tc>
        <w:tc>
          <w:tcPr>
            <w:tcW w:w="1427" w:type="dxa"/>
          </w:tcPr>
          <w:p w14:paraId="0A67F98C" w14:textId="77777777" w:rsidR="00866C13" w:rsidRPr="00847A38" w:rsidRDefault="00866C13" w:rsidP="00847A38">
            <w:pPr>
              <w:rPr>
                <w:rFonts w:ascii="Times" w:hAnsi="Times"/>
                <w:sz w:val="20"/>
                <w:szCs w:val="20"/>
                <w:lang w:val="en-US"/>
              </w:rPr>
            </w:pPr>
            <w:r w:rsidRPr="00847A38">
              <w:rPr>
                <w:rFonts w:ascii="Times" w:hAnsi="Times"/>
                <w:sz w:val="20"/>
                <w:szCs w:val="20"/>
                <w:lang w:val="en-US"/>
              </w:rPr>
              <w:t>X</w:t>
            </w:r>
          </w:p>
        </w:tc>
        <w:tc>
          <w:tcPr>
            <w:tcW w:w="1281" w:type="dxa"/>
          </w:tcPr>
          <w:p w14:paraId="51DD2FB3" w14:textId="6748404A" w:rsidR="00866C13" w:rsidRPr="00847A38" w:rsidRDefault="00866C13" w:rsidP="00847A38">
            <w:pPr>
              <w:rPr>
                <w:rFonts w:ascii="Times" w:hAnsi="Times"/>
                <w:sz w:val="20"/>
                <w:szCs w:val="20"/>
                <w:lang w:val="en-US"/>
              </w:rPr>
            </w:pPr>
          </w:p>
        </w:tc>
        <w:tc>
          <w:tcPr>
            <w:tcW w:w="0" w:type="auto"/>
          </w:tcPr>
          <w:p w14:paraId="2D7BB694" w14:textId="65A40114" w:rsidR="00866C13" w:rsidRPr="00847A38" w:rsidRDefault="00AD29D9" w:rsidP="00847A38">
            <w:pPr>
              <w:rPr>
                <w:rFonts w:ascii="Times" w:hAnsi="Times"/>
                <w:sz w:val="20"/>
                <w:szCs w:val="20"/>
                <w:lang w:val="en-US"/>
              </w:rPr>
            </w:pPr>
            <w:r w:rsidRPr="00847A38">
              <w:rPr>
                <w:rFonts w:ascii="Times" w:hAnsi="Times"/>
                <w:sz w:val="20"/>
                <w:szCs w:val="20"/>
                <w:lang w:val="en-US"/>
              </w:rPr>
              <w:t>24</w:t>
            </w:r>
            <w:r w:rsidR="00866C13" w:rsidRPr="00847A38">
              <w:rPr>
                <w:rFonts w:ascii="Times" w:hAnsi="Times"/>
                <w:sz w:val="20"/>
                <w:szCs w:val="20"/>
                <w:lang w:val="en-US"/>
              </w:rPr>
              <w:t xml:space="preserve"> months</w:t>
            </w:r>
          </w:p>
        </w:tc>
      </w:tr>
      <w:tr w:rsidR="002B5B49" w:rsidRPr="00847A38" w14:paraId="77BB9C44" w14:textId="77777777" w:rsidTr="00847A38">
        <w:trPr>
          <w:divId w:val="114180001"/>
        </w:trPr>
        <w:tc>
          <w:tcPr>
            <w:tcW w:w="0" w:type="auto"/>
          </w:tcPr>
          <w:p w14:paraId="46FC351B" w14:textId="6EEB94CF" w:rsidR="00AD29D9" w:rsidRPr="00847A38" w:rsidRDefault="00AD29D9" w:rsidP="00847A38">
            <w:pPr>
              <w:rPr>
                <w:rFonts w:ascii="Times" w:hAnsi="Times"/>
                <w:sz w:val="20"/>
                <w:szCs w:val="20"/>
                <w:lang w:val="en-US"/>
              </w:rPr>
            </w:pPr>
            <w:r w:rsidRPr="00847A38">
              <w:rPr>
                <w:rFonts w:ascii="Times" w:hAnsi="Times"/>
                <w:sz w:val="20"/>
                <w:szCs w:val="20"/>
                <w:lang w:val="en-US"/>
              </w:rPr>
              <w:t>Hernandez-Alfaro et al.</w:t>
            </w:r>
            <w:r w:rsidR="00C61E5C" w:rsidRPr="00847A38">
              <w:rPr>
                <w:rFonts w:ascii="Times" w:hAnsi="Times"/>
                <w:sz w:val="20"/>
                <w:szCs w:val="20"/>
                <w:lang w:val="en-US"/>
              </w:rPr>
              <w:fldChar w:fldCharType="begin" w:fldLock="1"/>
            </w:r>
            <w:r w:rsidR="00847A38" w:rsidRPr="00847A38">
              <w:rPr>
                <w:rFonts w:ascii="Times" w:hAnsi="Times"/>
                <w:sz w:val="20"/>
                <w:szCs w:val="20"/>
                <w:lang w:val="en-US"/>
              </w:rPr>
              <w:instrText>ADDIN CSL_CITATION { "citationItems" : [ { "id" : "ITEM-1", "itemData" : { "DOI" : "10.1016/j.ijom.2014.02.007", "ISSN" : "1399-0020", "PMID" : "24631424", "abstract" : "Together with the introduction of new orthodontic techniques and minimally invasive surgery protocols, the emergence of modern patient prototypes has given way to novel timing schemes for the handling of dento-maxillofacial deformities. The aim of this study was to define, justify, and systematize the appropriate timing for orthognathic surgery. A retrospective analysis of orthognathic surgery procedures carried out over a 3-year period was performed. Six timing schemes were defined: 'surgery first', 'surgery early', 'surgery late', 'surgery last', 'surgery only', and 'surgery never'. Gender, age at surgery, main motivation for treatment, orthodontic treatment length, and number of orthodontic appointments were evaluated. A total of 362 orthognathic procedures were evaluated. The most common approach was 'surgery late'. While aesthetic improvement was the leading treatment motivation in 'surgery first', 'surgery early', and 'surgery last' cases, occlusal optimization was the chief aim of 'surgery late'. Sleep-disordered breathing was the main indication for treatment in 'surgery only'. Compared to 'surgery late', orthodontic treatment was substantially shorter in 'surgery early' and 'surgery first' cases, but the number of orthodontic appointments was similar. In conclusion, the skilful management of dento-maxillofacial deformities requires a comprehensive analysis of patient-, orthodontist-, and surgeon-specific variables. Each timing approach has well-defined indications, treatment planning considerations, and orthodontic and surgical peculiarities.", "author" : [ { "dropping-particle" : "", "family" : "Hern\u00e1ndez-Alfaro", "given" : "F", "non-dropping-particle" : "", "parse-names" : false, "suffix" : "" }, { "dropping-particle" : "", "family" : "Guijarro-Mart\u00ednez", "given" : "R", "non-dropping-particle" : "", "parse-names" : false, "suffix" : "" } ], "container-title" : "International journal of oral and maxillofacial surgery", "id" : "ITEM-1", "issue" : "7", "issued" : { "date-parts" : [ [ "2014", "7" ] ] }, "note" : "Web-based research. Pubmed + scopus", "page" : "846-55", "title" : "On a definition of the appropriate timing for surgical intervention in orthognathic surgery.", "type" : "article-journal", "volume" : "43" }, "uris" : [ "http://www.mendeley.com/documents/?uuid=a296de20-1221-45c1-be9a-e56f2f1a5e1d" ] } ], "mendeley" : { "formattedCitation" : "[18]", "plainTextFormattedCitation" : "[18]", "previouslyFormattedCitation" : "[18]" }, "properties" : { "noteIndex" : 0 }, "schema" : "https://github.com/citation-style-language/schema/raw/master/csl-citation.json" }</w:instrText>
            </w:r>
            <w:r w:rsidR="00C61E5C" w:rsidRPr="00847A38">
              <w:rPr>
                <w:rFonts w:ascii="Times" w:hAnsi="Times"/>
                <w:sz w:val="20"/>
                <w:szCs w:val="20"/>
                <w:lang w:val="en-US"/>
              </w:rPr>
              <w:fldChar w:fldCharType="separate"/>
            </w:r>
            <w:r w:rsidR="00847A38" w:rsidRPr="00847A38">
              <w:rPr>
                <w:rFonts w:ascii="Times" w:hAnsi="Times"/>
                <w:noProof/>
                <w:sz w:val="20"/>
                <w:szCs w:val="20"/>
                <w:lang w:val="en-US"/>
              </w:rPr>
              <w:t>[18]</w:t>
            </w:r>
            <w:r w:rsidR="00C61E5C" w:rsidRPr="00847A38">
              <w:rPr>
                <w:rFonts w:ascii="Times" w:hAnsi="Times"/>
                <w:sz w:val="20"/>
                <w:szCs w:val="20"/>
                <w:lang w:val="en-US"/>
              </w:rPr>
              <w:fldChar w:fldCharType="end"/>
            </w:r>
          </w:p>
        </w:tc>
        <w:tc>
          <w:tcPr>
            <w:tcW w:w="0" w:type="auto"/>
          </w:tcPr>
          <w:p w14:paraId="548E1EA1" w14:textId="37B3FF62" w:rsidR="00AD29D9" w:rsidRPr="00847A38" w:rsidRDefault="00AD29D9" w:rsidP="00847A38">
            <w:pPr>
              <w:rPr>
                <w:rFonts w:ascii="Times" w:hAnsi="Times"/>
                <w:sz w:val="20"/>
                <w:szCs w:val="20"/>
                <w:lang w:val="en-US"/>
              </w:rPr>
            </w:pPr>
            <w:r w:rsidRPr="00847A38">
              <w:rPr>
                <w:rFonts w:ascii="Times" w:hAnsi="Times"/>
                <w:sz w:val="20"/>
                <w:szCs w:val="20"/>
                <w:lang w:val="en-US"/>
              </w:rPr>
              <w:t>Spain</w:t>
            </w:r>
          </w:p>
        </w:tc>
        <w:tc>
          <w:tcPr>
            <w:tcW w:w="0" w:type="auto"/>
          </w:tcPr>
          <w:p w14:paraId="6B39EDD0" w14:textId="38E72620" w:rsidR="00AD29D9" w:rsidRPr="00847A38" w:rsidRDefault="00AD29D9" w:rsidP="00847A38">
            <w:pPr>
              <w:rPr>
                <w:rFonts w:ascii="Times" w:hAnsi="Times"/>
                <w:sz w:val="20"/>
                <w:szCs w:val="20"/>
                <w:lang w:val="en-US"/>
              </w:rPr>
            </w:pPr>
            <w:r w:rsidRPr="00847A38">
              <w:rPr>
                <w:rFonts w:ascii="Times" w:hAnsi="Times"/>
                <w:sz w:val="20"/>
                <w:szCs w:val="20"/>
                <w:lang w:val="en-US"/>
              </w:rPr>
              <w:t>2014</w:t>
            </w:r>
          </w:p>
        </w:tc>
        <w:tc>
          <w:tcPr>
            <w:tcW w:w="0" w:type="auto"/>
          </w:tcPr>
          <w:p w14:paraId="286530E9" w14:textId="1C976300" w:rsidR="00AD29D9" w:rsidRPr="00847A38" w:rsidRDefault="00AD29D9" w:rsidP="00847A38">
            <w:pPr>
              <w:rPr>
                <w:rFonts w:ascii="Times" w:hAnsi="Times"/>
                <w:sz w:val="20"/>
                <w:szCs w:val="20"/>
                <w:lang w:val="en-US"/>
              </w:rPr>
            </w:pPr>
            <w:r w:rsidRPr="00847A38">
              <w:rPr>
                <w:rFonts w:ascii="Times" w:hAnsi="Times"/>
                <w:sz w:val="20"/>
                <w:szCs w:val="20"/>
                <w:lang w:val="en-US"/>
              </w:rPr>
              <w:t>Retrospective</w:t>
            </w:r>
          </w:p>
        </w:tc>
        <w:tc>
          <w:tcPr>
            <w:tcW w:w="0" w:type="auto"/>
          </w:tcPr>
          <w:p w14:paraId="4D12274C" w14:textId="7E8BA244" w:rsidR="00AD29D9" w:rsidRPr="00847A38" w:rsidRDefault="00AD29D9" w:rsidP="00847A38">
            <w:pPr>
              <w:rPr>
                <w:rFonts w:ascii="Times" w:hAnsi="Times"/>
                <w:sz w:val="20"/>
                <w:szCs w:val="20"/>
                <w:lang w:val="en-US"/>
              </w:rPr>
            </w:pPr>
            <w:r w:rsidRPr="00847A38">
              <w:rPr>
                <w:rFonts w:ascii="Times" w:hAnsi="Times"/>
                <w:sz w:val="20"/>
                <w:szCs w:val="20"/>
                <w:lang w:val="en-US"/>
              </w:rPr>
              <w:t>362</w:t>
            </w:r>
            <w:r w:rsidR="00C61E5C" w:rsidRPr="00847A38">
              <w:rPr>
                <w:rFonts w:ascii="Times" w:hAnsi="Times"/>
                <w:sz w:val="20"/>
                <w:szCs w:val="20"/>
                <w:lang w:val="en-US"/>
              </w:rPr>
              <w:t xml:space="preserve"> (212W/150M)</w:t>
            </w:r>
          </w:p>
        </w:tc>
        <w:tc>
          <w:tcPr>
            <w:tcW w:w="2151" w:type="dxa"/>
          </w:tcPr>
          <w:p w14:paraId="4C7A617B" w14:textId="36C8A362" w:rsidR="00AD29D9" w:rsidRPr="00847A38" w:rsidRDefault="00C61E5C" w:rsidP="00847A38">
            <w:pPr>
              <w:rPr>
                <w:rFonts w:ascii="Times" w:hAnsi="Times"/>
                <w:sz w:val="20"/>
                <w:szCs w:val="20"/>
                <w:lang w:val="en-US"/>
              </w:rPr>
            </w:pPr>
            <w:r w:rsidRPr="00847A38">
              <w:rPr>
                <w:rFonts w:ascii="Times" w:hAnsi="Times"/>
                <w:sz w:val="20"/>
                <w:szCs w:val="20"/>
                <w:lang w:val="en-US"/>
              </w:rPr>
              <w:t>Motivation</w:t>
            </w:r>
          </w:p>
        </w:tc>
        <w:tc>
          <w:tcPr>
            <w:tcW w:w="1427" w:type="dxa"/>
          </w:tcPr>
          <w:p w14:paraId="0DFA817B" w14:textId="77777777" w:rsidR="00AD29D9" w:rsidRPr="00847A38" w:rsidRDefault="00AD29D9" w:rsidP="00847A38">
            <w:pPr>
              <w:rPr>
                <w:rFonts w:ascii="Times" w:hAnsi="Times"/>
                <w:sz w:val="20"/>
                <w:szCs w:val="20"/>
                <w:lang w:val="en-US"/>
              </w:rPr>
            </w:pPr>
          </w:p>
        </w:tc>
        <w:tc>
          <w:tcPr>
            <w:tcW w:w="1281" w:type="dxa"/>
          </w:tcPr>
          <w:p w14:paraId="5E45FE55" w14:textId="1A062DB4" w:rsidR="00AD29D9" w:rsidRPr="00847A38" w:rsidRDefault="00C61E5C" w:rsidP="00847A38">
            <w:pPr>
              <w:rPr>
                <w:rFonts w:ascii="Times" w:hAnsi="Times"/>
                <w:sz w:val="20"/>
                <w:szCs w:val="20"/>
                <w:lang w:val="en-US"/>
              </w:rPr>
            </w:pPr>
            <w:r w:rsidRPr="00847A38">
              <w:rPr>
                <w:rFonts w:ascii="Times" w:hAnsi="Times"/>
                <w:sz w:val="20"/>
                <w:szCs w:val="20"/>
                <w:lang w:val="en-US"/>
              </w:rPr>
              <w:t>X</w:t>
            </w:r>
          </w:p>
        </w:tc>
        <w:tc>
          <w:tcPr>
            <w:tcW w:w="0" w:type="auto"/>
          </w:tcPr>
          <w:p w14:paraId="3E3AFAFD" w14:textId="0B01AAA4" w:rsidR="00AD29D9" w:rsidRPr="00847A38" w:rsidRDefault="00355E1D" w:rsidP="00847A38">
            <w:pPr>
              <w:rPr>
                <w:rFonts w:ascii="Times" w:hAnsi="Times"/>
                <w:sz w:val="20"/>
                <w:szCs w:val="20"/>
                <w:lang w:val="en-US"/>
              </w:rPr>
            </w:pPr>
            <w:r>
              <w:rPr>
                <w:rFonts w:ascii="Times" w:hAnsi="Times"/>
                <w:sz w:val="20"/>
                <w:szCs w:val="20"/>
                <w:lang w:val="en-US"/>
              </w:rPr>
              <w:t>Not mentioned</w:t>
            </w:r>
          </w:p>
        </w:tc>
      </w:tr>
      <w:tr w:rsidR="002B5B49" w:rsidRPr="00847A38" w14:paraId="40C3B79C" w14:textId="77777777" w:rsidTr="00847A38">
        <w:trPr>
          <w:divId w:val="114180001"/>
        </w:trPr>
        <w:tc>
          <w:tcPr>
            <w:tcW w:w="0" w:type="auto"/>
          </w:tcPr>
          <w:p w14:paraId="6128429A" w14:textId="7EFF53D7" w:rsidR="00AD29D9" w:rsidRPr="00847A38" w:rsidRDefault="00AD29D9" w:rsidP="00847A38">
            <w:pPr>
              <w:rPr>
                <w:rFonts w:ascii="Times" w:hAnsi="Times"/>
                <w:sz w:val="20"/>
                <w:szCs w:val="20"/>
                <w:lang w:val="en-US"/>
              </w:rPr>
            </w:pPr>
            <w:r w:rsidRPr="00847A38">
              <w:rPr>
                <w:rFonts w:ascii="Times" w:hAnsi="Times"/>
                <w:sz w:val="20"/>
                <w:szCs w:val="20"/>
                <w:lang w:val="en-US"/>
              </w:rPr>
              <w:t>Hernandez-Alfaro et al.</w:t>
            </w:r>
            <w:r w:rsidR="00287662" w:rsidRPr="00847A38">
              <w:rPr>
                <w:rFonts w:ascii="Times" w:hAnsi="Times"/>
                <w:sz w:val="20"/>
                <w:szCs w:val="20"/>
                <w:lang w:val="en-US"/>
              </w:rPr>
              <w:fldChar w:fldCharType="begin" w:fldLock="1"/>
            </w:r>
            <w:r w:rsidR="00847A38" w:rsidRPr="00847A38">
              <w:rPr>
                <w:rFonts w:ascii="Times" w:hAnsi="Times"/>
                <w:sz w:val="20"/>
                <w:szCs w:val="20"/>
                <w:lang w:val="en-US"/>
              </w:rPr>
              <w:instrText>ADDIN CSL_CITATION { "citationItems" : [ { "id" : "ITEM-1", "itemData" : { "DOI" : "10.1016/j.joms.2013.08.013", "ISSN" : "1531-5053", "PMID" : "24139292", "abstract" : "PURPOSE: In some patients, \"surgery first\" (SF) may represent a reasonable approach for the expedited correction of a maxillofacial deformity. Based on the prospective evaluation of a large sample, this article provides a specific orthodontic and surgical protocol, discusses the benefits and limitations of this approach, and updates its indications.\n\nMATERIALS AND METHODS: Forty-five patients were managed with an SF approach. Selected cases presented symmetrical skeletal malocclusions with no need for extractions or surgically assisted rapid palatal expansion. Periodontal or temporomandibular joint problems and management by an orthodontist without experience in orthognathic surgery were considered exclusion criteria. Virtual treatment planning included a 3-dimensional orthodontic setup. Standard orthognathic osteotomies were followed by buccal interdental corticotomies to amplify the regional acceleratory phenomenon. Miniscrews were placed for postoperative skeletal stabilization. Orthodontic treatment began 2 weeks after surgery. Archwires were changed every 2 to 3 weeks. At 12-month follow-up, patient satisfaction and orthodontist satisfaction were evaluated on a visual analog scale of 1 to 10. Descriptive statistics were computed for all study variables.\n\nRESULTS: The studied sample consisted of 27 women and 18 men (mean age, 23.5 yr). The main motivation for treatment was the wish to improve facial esthetics. Bimaxillary surgery was the most common procedure. Mean duration of orthodontic treatment was 37.8 weeks, with an average of 22 orthodontic appointments. Mean patient and orthodontist satisfaction scores were 9.4 (range, 8 to 10) and 9.7 (range, 8 to 10), respectively.\n\nCONCLUSIONS: The SF approach significantly shortens total treatment time and is very favorably valued by patients and orthodontists. Nevertheless, careful patient selection, precise treatment planning, and fluent bidirectional feedback between the surgeon and the orthodontist are mandatory.", "author" : [ { "dropping-particle" : "", "family" : "Hern\u00e1ndez-Alfaro", "given" : "Federico", "non-dropping-particle" : "", "parse-names" : false, "suffix" : "" }, { "dropping-particle" : "", "family" : "Guijarro-Mart\u00ednez", "given" : "Raquel", "non-dropping-particle" : "", "parse-names" : false, "suffix" : "" }, { "dropping-particle" : "", "family" : "Peir\u00f3-Guijarro", "given" : "Mar\u00eda A", "non-dropping-particle" : "", "parse-names" : false, "suffix" : "" } ], "container-title" : "Journal of oral and maxillofacial surgery : official journal of the American Association of Oral and Maxillofacial Surgeons", "id" : "ITEM-1", "issue" : "2", "issued" : { "date-parts" : [ [ "2014", "2" ] ] }, "note" : "Web-based. Scoops", "page" : "376-90", "title" : "Surgery first in orthognathic surgery: what have we learned? A comprehensive workflow based on 45 consecutive cases.", "type" : "article-journal", "volume" : "72" }, "uris" : [ "http://www.mendeley.com/documents/?uuid=5d9f197e-4049-4ae9-ae17-865a46c51264" ] } ], "mendeley" : { "formattedCitation" : "[19]", "plainTextFormattedCitation" : "[19]", "previouslyFormattedCitation" : "[19]" }, "properties" : { "noteIndex" : 0 }, "schema" : "https://github.com/citation-style-language/schema/raw/master/csl-citation.json" }</w:instrText>
            </w:r>
            <w:r w:rsidR="00287662" w:rsidRPr="00847A38">
              <w:rPr>
                <w:rFonts w:ascii="Times" w:hAnsi="Times"/>
                <w:sz w:val="20"/>
                <w:szCs w:val="20"/>
                <w:lang w:val="en-US"/>
              </w:rPr>
              <w:fldChar w:fldCharType="separate"/>
            </w:r>
            <w:r w:rsidR="00847A38" w:rsidRPr="00847A38">
              <w:rPr>
                <w:rFonts w:ascii="Times" w:hAnsi="Times"/>
                <w:noProof/>
                <w:sz w:val="20"/>
                <w:szCs w:val="20"/>
                <w:lang w:val="en-US"/>
              </w:rPr>
              <w:t>[19]</w:t>
            </w:r>
            <w:r w:rsidR="00287662" w:rsidRPr="00847A38">
              <w:rPr>
                <w:rFonts w:ascii="Times" w:hAnsi="Times"/>
                <w:sz w:val="20"/>
                <w:szCs w:val="20"/>
                <w:lang w:val="en-US"/>
              </w:rPr>
              <w:fldChar w:fldCharType="end"/>
            </w:r>
          </w:p>
        </w:tc>
        <w:tc>
          <w:tcPr>
            <w:tcW w:w="0" w:type="auto"/>
          </w:tcPr>
          <w:p w14:paraId="608FF5DF" w14:textId="05D1C9D3" w:rsidR="00AD29D9" w:rsidRPr="00847A38" w:rsidRDefault="00AD29D9" w:rsidP="00847A38">
            <w:pPr>
              <w:rPr>
                <w:rFonts w:ascii="Times" w:hAnsi="Times"/>
                <w:sz w:val="20"/>
                <w:szCs w:val="20"/>
                <w:lang w:val="en-US"/>
              </w:rPr>
            </w:pPr>
            <w:r w:rsidRPr="00847A38">
              <w:rPr>
                <w:rFonts w:ascii="Times" w:hAnsi="Times"/>
                <w:sz w:val="20"/>
                <w:szCs w:val="20"/>
                <w:lang w:val="en-US"/>
              </w:rPr>
              <w:t>Spain</w:t>
            </w:r>
          </w:p>
        </w:tc>
        <w:tc>
          <w:tcPr>
            <w:tcW w:w="0" w:type="auto"/>
          </w:tcPr>
          <w:p w14:paraId="0DD84362" w14:textId="5C385148" w:rsidR="00AD29D9" w:rsidRPr="00847A38" w:rsidRDefault="00AD29D9" w:rsidP="00847A38">
            <w:pPr>
              <w:rPr>
                <w:rFonts w:ascii="Times" w:hAnsi="Times"/>
                <w:sz w:val="20"/>
                <w:szCs w:val="20"/>
                <w:lang w:val="en-US"/>
              </w:rPr>
            </w:pPr>
            <w:r w:rsidRPr="00847A38">
              <w:rPr>
                <w:rFonts w:ascii="Times" w:hAnsi="Times"/>
                <w:sz w:val="20"/>
                <w:szCs w:val="20"/>
                <w:lang w:val="en-US"/>
              </w:rPr>
              <w:t>2014</w:t>
            </w:r>
          </w:p>
        </w:tc>
        <w:tc>
          <w:tcPr>
            <w:tcW w:w="0" w:type="auto"/>
          </w:tcPr>
          <w:p w14:paraId="3C9DB223" w14:textId="779328BF" w:rsidR="00AD29D9" w:rsidRPr="00847A38" w:rsidRDefault="00AD29D9" w:rsidP="00847A38">
            <w:pPr>
              <w:rPr>
                <w:rFonts w:ascii="Times" w:hAnsi="Times"/>
                <w:sz w:val="20"/>
                <w:szCs w:val="20"/>
                <w:lang w:val="en-US"/>
              </w:rPr>
            </w:pPr>
            <w:r w:rsidRPr="00847A38">
              <w:rPr>
                <w:rFonts w:ascii="Times" w:hAnsi="Times"/>
                <w:sz w:val="20"/>
                <w:szCs w:val="20"/>
                <w:lang w:val="en-US"/>
              </w:rPr>
              <w:t>Prospective</w:t>
            </w:r>
          </w:p>
        </w:tc>
        <w:tc>
          <w:tcPr>
            <w:tcW w:w="0" w:type="auto"/>
          </w:tcPr>
          <w:p w14:paraId="08C7B0A6" w14:textId="477BDD39" w:rsidR="00AD29D9" w:rsidRPr="00847A38" w:rsidRDefault="00AD29D9" w:rsidP="00847A38">
            <w:pPr>
              <w:rPr>
                <w:rFonts w:ascii="Times" w:hAnsi="Times"/>
                <w:sz w:val="20"/>
                <w:szCs w:val="20"/>
                <w:lang w:val="en-US"/>
              </w:rPr>
            </w:pPr>
            <w:r w:rsidRPr="00847A38">
              <w:rPr>
                <w:rFonts w:ascii="Times" w:hAnsi="Times"/>
                <w:sz w:val="20"/>
                <w:szCs w:val="20"/>
                <w:lang w:val="en-US"/>
              </w:rPr>
              <w:t>45</w:t>
            </w:r>
            <w:r w:rsidR="00C61E5C" w:rsidRPr="00847A38">
              <w:rPr>
                <w:rFonts w:ascii="Times" w:hAnsi="Times"/>
                <w:sz w:val="20"/>
                <w:szCs w:val="20"/>
                <w:lang w:val="en-US"/>
              </w:rPr>
              <w:t xml:space="preserve"> (27W/18M)</w:t>
            </w:r>
          </w:p>
        </w:tc>
        <w:tc>
          <w:tcPr>
            <w:tcW w:w="2151" w:type="dxa"/>
          </w:tcPr>
          <w:p w14:paraId="6FD0922A" w14:textId="48E0DCEA" w:rsidR="00AD29D9" w:rsidRPr="00847A38" w:rsidRDefault="00287662" w:rsidP="00847A38">
            <w:pPr>
              <w:rPr>
                <w:rFonts w:ascii="Times" w:hAnsi="Times"/>
                <w:sz w:val="20"/>
                <w:szCs w:val="20"/>
                <w:lang w:val="en-US"/>
              </w:rPr>
            </w:pPr>
            <w:r w:rsidRPr="00847A38">
              <w:rPr>
                <w:rFonts w:ascii="Times" w:hAnsi="Times"/>
                <w:sz w:val="20"/>
                <w:szCs w:val="20"/>
                <w:lang w:val="en-US"/>
              </w:rPr>
              <w:t>Outcome</w:t>
            </w:r>
            <w:r w:rsidR="004C1444" w:rsidRPr="00847A38">
              <w:rPr>
                <w:rFonts w:ascii="Times" w:hAnsi="Times"/>
                <w:sz w:val="20"/>
                <w:szCs w:val="20"/>
                <w:lang w:val="en-US"/>
              </w:rPr>
              <w:t xml:space="preserve"> and motivation</w:t>
            </w:r>
          </w:p>
        </w:tc>
        <w:tc>
          <w:tcPr>
            <w:tcW w:w="1427" w:type="dxa"/>
          </w:tcPr>
          <w:p w14:paraId="2F844880" w14:textId="064425EE" w:rsidR="00AD29D9" w:rsidRPr="00847A38" w:rsidRDefault="00287662" w:rsidP="00847A38">
            <w:pPr>
              <w:rPr>
                <w:rFonts w:ascii="Times" w:hAnsi="Times"/>
                <w:sz w:val="20"/>
                <w:szCs w:val="20"/>
                <w:lang w:val="en-US"/>
              </w:rPr>
            </w:pPr>
            <w:r w:rsidRPr="00847A38">
              <w:rPr>
                <w:rFonts w:ascii="Times" w:hAnsi="Times"/>
                <w:sz w:val="20"/>
                <w:szCs w:val="20"/>
                <w:lang w:val="en-US"/>
              </w:rPr>
              <w:t>? (VAS satisfaction)</w:t>
            </w:r>
          </w:p>
        </w:tc>
        <w:tc>
          <w:tcPr>
            <w:tcW w:w="1281" w:type="dxa"/>
          </w:tcPr>
          <w:p w14:paraId="00DE1811" w14:textId="7F6FCFC2" w:rsidR="00AD29D9" w:rsidRPr="00847A38" w:rsidRDefault="00287662" w:rsidP="00847A38">
            <w:pPr>
              <w:rPr>
                <w:rFonts w:ascii="Times" w:hAnsi="Times"/>
                <w:sz w:val="20"/>
                <w:szCs w:val="20"/>
                <w:lang w:val="en-US"/>
              </w:rPr>
            </w:pPr>
            <w:r w:rsidRPr="00847A38">
              <w:rPr>
                <w:rFonts w:ascii="Times" w:hAnsi="Times"/>
                <w:sz w:val="20"/>
                <w:szCs w:val="20"/>
                <w:lang w:val="en-US"/>
              </w:rPr>
              <w:t>X</w:t>
            </w:r>
          </w:p>
        </w:tc>
        <w:tc>
          <w:tcPr>
            <w:tcW w:w="0" w:type="auto"/>
          </w:tcPr>
          <w:p w14:paraId="634DF52D" w14:textId="75E2AD8B" w:rsidR="00AD29D9" w:rsidRPr="00847A38" w:rsidRDefault="00C61E5C" w:rsidP="00847A38">
            <w:pPr>
              <w:rPr>
                <w:rFonts w:ascii="Times" w:hAnsi="Times"/>
                <w:sz w:val="20"/>
                <w:szCs w:val="20"/>
                <w:lang w:val="en-US"/>
              </w:rPr>
            </w:pPr>
            <w:r w:rsidRPr="00847A38">
              <w:rPr>
                <w:rFonts w:ascii="Times" w:hAnsi="Times"/>
                <w:sz w:val="20"/>
                <w:szCs w:val="20"/>
                <w:lang w:val="en-US"/>
              </w:rPr>
              <w:t>12 months</w:t>
            </w:r>
          </w:p>
        </w:tc>
      </w:tr>
      <w:tr w:rsidR="002B5B49" w:rsidRPr="00847A38" w14:paraId="7A675981" w14:textId="77777777" w:rsidTr="00847A38">
        <w:trPr>
          <w:divId w:val="114180001"/>
        </w:trPr>
        <w:tc>
          <w:tcPr>
            <w:tcW w:w="0" w:type="auto"/>
          </w:tcPr>
          <w:p w14:paraId="285872AD" w14:textId="196F5937" w:rsidR="00AD29D9" w:rsidRPr="00847A38" w:rsidRDefault="00AD29D9" w:rsidP="00847A38">
            <w:pPr>
              <w:rPr>
                <w:rFonts w:ascii="Times" w:hAnsi="Times"/>
                <w:sz w:val="20"/>
                <w:szCs w:val="20"/>
                <w:lang w:val="en-US"/>
              </w:rPr>
            </w:pPr>
            <w:r w:rsidRPr="00847A38">
              <w:rPr>
                <w:rFonts w:ascii="Times" w:hAnsi="Times"/>
                <w:sz w:val="20"/>
                <w:szCs w:val="20"/>
                <w:lang w:val="en-US"/>
              </w:rPr>
              <w:t>Proothi et al.</w:t>
            </w:r>
            <w:r w:rsidR="0029684A" w:rsidRPr="00847A38">
              <w:rPr>
                <w:rFonts w:ascii="Times" w:hAnsi="Times"/>
                <w:sz w:val="20"/>
                <w:szCs w:val="20"/>
                <w:lang w:val="en-US"/>
              </w:rPr>
              <w:fldChar w:fldCharType="begin" w:fldLock="1"/>
            </w:r>
            <w:r w:rsidR="00847A38" w:rsidRPr="00847A38">
              <w:rPr>
                <w:rFonts w:ascii="Times" w:hAnsi="Times"/>
                <w:sz w:val="20"/>
                <w:szCs w:val="20"/>
                <w:lang w:val="en-US"/>
              </w:rPr>
              <w:instrText>ADDIN CSL_CITATION { "citationItems" : [ { "id" : "ITEM-1", "itemData" : { "DOI" : "10.1016/j.joms.2009.12.007", "ISBN" : "1531-5053 (Electronic) 0278-2391 (Linking)", "ISSN" : "02782391", "PMID" : "20434252", "abstract" : "Purpose: Orthognathic surgery is generally performed to correct facial abnormalities related to the maxilla and/or mandible, and there are a variety of reasons for which patients choose to be evaluated for this procedure. We surveyed 637 cases to determine the patients' motivating factors for seeking surgical consultation. Patients and Methods: We reviewed 637 cases from 1990 to 2006 in this study, and data were extracted from 501 appropriately completed surveys to determine why patients seek corrective maxillofacial surgery. Patients aged under 12 years and those with an identified syndrome were not included in the final data set. Results: The results indicate that patients with dentofacial deformities have multiple complaints related to their poor maxillomandibular relationships. However, their primary motivation for undergoing surgical evaluation is not appearance; it is their bite/function. Of the 501 patients reviewed in this study, 216 (43%) were male and 285 (57%) were female. Age ranged from 12 to 45 years. Of the patients, 76% stated that their appearance was affected by their condition, but only 15% stated it was their primary motivation for undergoing surgical evaluation. Thirty-six percent stated that their bite was their primary motivation for seeking treatment. Conclusion: The most common reason for surgical evaluation was correction of bite or functional disability, not improvement of appearance. Most previously published studies on this subject included smaller sample sizes and showed appearance to be the primary motivating factor. ?? 2010 American Association of Oral and Maxillofacial Surgeons.", "author" : [ { "dropping-particle" : "", "family" : "Proothi", "given" : "Michael", "non-dropping-particle" : "", "parse-names" : false, "suffix" : "" }, { "dropping-particle" : "", "family" : "Drew", "given" : "Stephanie J.", "non-dropping-particle" : "", "parse-names" : false, "suffix" : "" }, { "dropping-particle" : "", "family" : "Sachs", "given" : "Stephen a.", "non-dropping-particle" : "", "parse-names" : false, "suffix" : "" } ], "container-title" : "Journal of Oral and Maxillofacial Surgery", "id" : "ITEM-1", "issue" : "7", "issued" : { "date-parts" : [ [ "2010" ] ] }, "note" : "+ WEBSEARCH MED CONSULTATION+ORTHOGNATHIC", "page" : "1555-1559", "publisher" : "Elsevier Inc.", "title" : "Motivating Factors for Patients Undergoing Orthognathic Surgery Evaluation", "type" : "article-journal", "volume" : "68" }, "uris" : [ "http://www.mendeley.com/documents/?uuid=66029b00-acbf-4c28-a355-fd60406da2da" ] } ], "mendeley" : { "formattedCitation" : "[20]", "plainTextFormattedCitation" : "[20]", "previouslyFormattedCitation" : "[20]" }, "properties" : { "noteIndex" : 0 }, "schema" : "https://github.com/citation-style-language/schema/raw/master/csl-citation.json" }</w:instrText>
            </w:r>
            <w:r w:rsidR="0029684A" w:rsidRPr="00847A38">
              <w:rPr>
                <w:rFonts w:ascii="Times" w:hAnsi="Times"/>
                <w:sz w:val="20"/>
                <w:szCs w:val="20"/>
                <w:lang w:val="en-US"/>
              </w:rPr>
              <w:fldChar w:fldCharType="separate"/>
            </w:r>
            <w:r w:rsidR="00847A38" w:rsidRPr="00847A38">
              <w:rPr>
                <w:rFonts w:ascii="Times" w:hAnsi="Times"/>
                <w:noProof/>
                <w:sz w:val="20"/>
                <w:szCs w:val="20"/>
                <w:lang w:val="en-US"/>
              </w:rPr>
              <w:t>[20]</w:t>
            </w:r>
            <w:r w:rsidR="0029684A" w:rsidRPr="00847A38">
              <w:rPr>
                <w:rFonts w:ascii="Times" w:hAnsi="Times"/>
                <w:sz w:val="20"/>
                <w:szCs w:val="20"/>
                <w:lang w:val="en-US"/>
              </w:rPr>
              <w:fldChar w:fldCharType="end"/>
            </w:r>
          </w:p>
        </w:tc>
        <w:tc>
          <w:tcPr>
            <w:tcW w:w="0" w:type="auto"/>
          </w:tcPr>
          <w:p w14:paraId="64341EC7" w14:textId="60E2FD8D" w:rsidR="00AD29D9" w:rsidRPr="00847A38" w:rsidRDefault="00AD29D9" w:rsidP="00847A38">
            <w:pPr>
              <w:rPr>
                <w:rFonts w:ascii="Times" w:hAnsi="Times"/>
                <w:sz w:val="20"/>
                <w:szCs w:val="20"/>
                <w:lang w:val="en-US"/>
              </w:rPr>
            </w:pPr>
            <w:r w:rsidRPr="00847A38">
              <w:rPr>
                <w:rFonts w:ascii="Times" w:hAnsi="Times"/>
                <w:sz w:val="20"/>
                <w:szCs w:val="20"/>
                <w:lang w:val="en-US"/>
              </w:rPr>
              <w:t>United States</w:t>
            </w:r>
          </w:p>
        </w:tc>
        <w:tc>
          <w:tcPr>
            <w:tcW w:w="0" w:type="auto"/>
          </w:tcPr>
          <w:p w14:paraId="3E8DA085" w14:textId="7F26010E" w:rsidR="00AD29D9" w:rsidRPr="00847A38" w:rsidRDefault="00AD29D9" w:rsidP="00847A38">
            <w:pPr>
              <w:rPr>
                <w:rFonts w:ascii="Times" w:hAnsi="Times"/>
                <w:sz w:val="20"/>
                <w:szCs w:val="20"/>
                <w:lang w:val="en-US"/>
              </w:rPr>
            </w:pPr>
            <w:r w:rsidRPr="00847A38">
              <w:rPr>
                <w:rFonts w:ascii="Times" w:hAnsi="Times"/>
                <w:sz w:val="20"/>
                <w:szCs w:val="20"/>
                <w:lang w:val="en-US"/>
              </w:rPr>
              <w:t>2010</w:t>
            </w:r>
          </w:p>
        </w:tc>
        <w:tc>
          <w:tcPr>
            <w:tcW w:w="0" w:type="auto"/>
          </w:tcPr>
          <w:p w14:paraId="5A53DB31" w14:textId="7D3AC6ED" w:rsidR="00AD29D9" w:rsidRPr="00847A38" w:rsidRDefault="00AD29D9" w:rsidP="00847A38">
            <w:pPr>
              <w:rPr>
                <w:rFonts w:ascii="Times" w:hAnsi="Times"/>
                <w:sz w:val="20"/>
                <w:szCs w:val="20"/>
                <w:lang w:val="en-US"/>
              </w:rPr>
            </w:pPr>
            <w:r w:rsidRPr="00847A38">
              <w:rPr>
                <w:rFonts w:ascii="Times" w:hAnsi="Times"/>
                <w:sz w:val="20"/>
                <w:szCs w:val="20"/>
                <w:lang w:val="en-US"/>
              </w:rPr>
              <w:t>Retrospective</w:t>
            </w:r>
          </w:p>
        </w:tc>
        <w:tc>
          <w:tcPr>
            <w:tcW w:w="0" w:type="auto"/>
          </w:tcPr>
          <w:p w14:paraId="5E0CCE93" w14:textId="52EE5F31" w:rsidR="00AD29D9" w:rsidRPr="00847A38" w:rsidRDefault="00AD29D9" w:rsidP="00847A38">
            <w:pPr>
              <w:rPr>
                <w:rFonts w:ascii="Times" w:hAnsi="Times"/>
                <w:sz w:val="20"/>
                <w:szCs w:val="20"/>
                <w:lang w:val="en-US"/>
              </w:rPr>
            </w:pPr>
            <w:r w:rsidRPr="00847A38">
              <w:rPr>
                <w:rFonts w:ascii="Times" w:hAnsi="Times"/>
                <w:sz w:val="20"/>
                <w:szCs w:val="20"/>
                <w:lang w:val="en-US"/>
              </w:rPr>
              <w:t>501 (285W/216M)</w:t>
            </w:r>
          </w:p>
        </w:tc>
        <w:tc>
          <w:tcPr>
            <w:tcW w:w="2151" w:type="dxa"/>
          </w:tcPr>
          <w:p w14:paraId="2C5DCD32" w14:textId="799FF99A" w:rsidR="00AD29D9" w:rsidRPr="00847A38" w:rsidRDefault="004C1444" w:rsidP="00847A38">
            <w:pPr>
              <w:rPr>
                <w:rFonts w:ascii="Times" w:hAnsi="Times"/>
                <w:sz w:val="20"/>
                <w:szCs w:val="20"/>
                <w:lang w:val="en-US"/>
              </w:rPr>
            </w:pPr>
            <w:r w:rsidRPr="00847A38">
              <w:rPr>
                <w:rFonts w:ascii="Times" w:hAnsi="Times"/>
                <w:sz w:val="20"/>
                <w:szCs w:val="20"/>
                <w:lang w:val="en-US"/>
              </w:rPr>
              <w:t>Motiva</w:t>
            </w:r>
            <w:r w:rsidR="00AD29D9" w:rsidRPr="00847A38">
              <w:rPr>
                <w:rFonts w:ascii="Times" w:hAnsi="Times"/>
                <w:sz w:val="20"/>
                <w:szCs w:val="20"/>
                <w:lang w:val="en-US"/>
              </w:rPr>
              <w:t>tion (main indication)</w:t>
            </w:r>
          </w:p>
        </w:tc>
        <w:tc>
          <w:tcPr>
            <w:tcW w:w="1427" w:type="dxa"/>
          </w:tcPr>
          <w:p w14:paraId="2595D14E" w14:textId="5DCB8360" w:rsidR="00AD29D9" w:rsidRPr="00847A38" w:rsidRDefault="0029684A" w:rsidP="00847A38">
            <w:pPr>
              <w:rPr>
                <w:rFonts w:ascii="Times" w:hAnsi="Times"/>
                <w:sz w:val="20"/>
                <w:szCs w:val="20"/>
                <w:lang w:val="en-US"/>
              </w:rPr>
            </w:pPr>
            <w:r w:rsidRPr="00847A38">
              <w:rPr>
                <w:rFonts w:ascii="Times" w:hAnsi="Times"/>
                <w:sz w:val="20"/>
                <w:szCs w:val="20"/>
                <w:lang w:val="en-US"/>
              </w:rPr>
              <w:t>X</w:t>
            </w:r>
          </w:p>
        </w:tc>
        <w:tc>
          <w:tcPr>
            <w:tcW w:w="1281" w:type="dxa"/>
          </w:tcPr>
          <w:p w14:paraId="7F8B6484" w14:textId="77777777" w:rsidR="00AD29D9" w:rsidRPr="00847A38" w:rsidRDefault="00AD29D9" w:rsidP="00847A38">
            <w:pPr>
              <w:rPr>
                <w:rFonts w:ascii="Times" w:hAnsi="Times"/>
                <w:sz w:val="20"/>
                <w:szCs w:val="20"/>
                <w:lang w:val="en-US"/>
              </w:rPr>
            </w:pPr>
          </w:p>
        </w:tc>
        <w:tc>
          <w:tcPr>
            <w:tcW w:w="0" w:type="auto"/>
          </w:tcPr>
          <w:p w14:paraId="219C0B39" w14:textId="22233A25" w:rsidR="00AD29D9" w:rsidRPr="00847A38" w:rsidRDefault="00355E1D" w:rsidP="00847A38">
            <w:pPr>
              <w:rPr>
                <w:rFonts w:ascii="Times" w:hAnsi="Times"/>
                <w:sz w:val="20"/>
                <w:szCs w:val="20"/>
                <w:lang w:val="en-US"/>
              </w:rPr>
            </w:pPr>
            <w:r>
              <w:rPr>
                <w:rFonts w:ascii="Times" w:hAnsi="Times"/>
                <w:sz w:val="20"/>
                <w:szCs w:val="20"/>
                <w:lang w:val="en-US"/>
              </w:rPr>
              <w:t>Not mentioned</w:t>
            </w:r>
          </w:p>
        </w:tc>
      </w:tr>
      <w:tr w:rsidR="002B5B49" w:rsidRPr="00847A38" w14:paraId="0C3E4147" w14:textId="77777777" w:rsidTr="00847A38">
        <w:trPr>
          <w:divId w:val="114180001"/>
        </w:trPr>
        <w:tc>
          <w:tcPr>
            <w:tcW w:w="0" w:type="auto"/>
          </w:tcPr>
          <w:p w14:paraId="2CB677FE" w14:textId="1597259A" w:rsidR="00AD29D9" w:rsidRPr="00847A38" w:rsidRDefault="00B90C30" w:rsidP="00847A38">
            <w:pPr>
              <w:rPr>
                <w:rFonts w:ascii="Times" w:hAnsi="Times"/>
                <w:sz w:val="20"/>
                <w:szCs w:val="20"/>
                <w:lang w:val="en-US"/>
              </w:rPr>
            </w:pPr>
            <w:r w:rsidRPr="00847A38">
              <w:rPr>
                <w:rFonts w:ascii="Times" w:hAnsi="Times"/>
                <w:sz w:val="20"/>
                <w:szCs w:val="20"/>
                <w:lang w:val="en-US"/>
              </w:rPr>
              <w:t>Modig et al.</w:t>
            </w:r>
            <w:r w:rsidR="0029684A" w:rsidRPr="00847A38">
              <w:rPr>
                <w:rFonts w:ascii="Times" w:hAnsi="Times"/>
                <w:sz w:val="20"/>
                <w:szCs w:val="20"/>
                <w:lang w:val="en-US"/>
              </w:rPr>
              <w:fldChar w:fldCharType="begin" w:fldLock="1"/>
            </w:r>
            <w:r w:rsidR="00847A38" w:rsidRPr="00847A38">
              <w:rPr>
                <w:rFonts w:ascii="Times" w:hAnsi="Times"/>
                <w:sz w:val="20"/>
                <w:szCs w:val="20"/>
                <w:lang w:val="en-US"/>
              </w:rPr>
              <w:instrText>ADDIN CSL_CITATION { "citationItems" : [ { "id" : "ITEM-1", "itemData" : { "DOI" : "10.1016/j.bjoms.2005.07.016", "ISBN" : "0266-4356 (Print) 0266-4356 (Linking)", "ISSN" : "02664356", "PMID" : "16162374", "abstract" : "We aimed to find out what patients thought of their quality of life after they had had an orthognathic operation. Thirty-two patients returned three questionnaires and 15 were further interrogated by telephone. Preoperatively the patients mentioned mainly functional problems as a reason for asking for the operation, but expectation of aesthetic improvement was also an important factor. They were generally satisfied with the outcome of the operation. Postoperative improvement was mentioned in terms of chewing, appearance, headaches, and bullying. Patients felt more secure in company with other people postoperatively. We conclude that patients' perceptions after orthognathic operations were generally favourable but there is a need for improved information to patients during the treatment. \u00a9 2005 The British Association of Oral and Maxillofacial Surgeons. Published by Elsevier Ltd. All rights reserved.", "author" : [ { "dropping-particle" : "", "family" : "Modig", "given" : "Maria", "non-dropping-particle" : "", "parse-names" : false, "suffix" : "" }, { "dropping-particle" : "", "family" : "Andersson", "given" : "L.", "non-dropping-particle" : "", "parse-names" : false, "suffix" : "" }, { "dropping-particle" : "", "family" : "W\u00e5rdh", "given" : "I.", "non-dropping-particle" : "", "parse-names" : false, "suffix" : "" } ], "container-title" : "British Journal of Oral and Maxillofacial Surgery", "id" : "ITEM-1", "issued" : { "date-parts" : [ [ "2006" ] ] }, "page" : "24-27", "title" : "Patients' perception of improvement after orthognathic surgery: Pilot study", "type" : "article-journal", "volume" : "44" }, "uris" : [ "http://www.mendeley.com/documents/?uuid=d055cb22-ca54-41ad-8261-13bf146c8494" ] } ], "mendeley" : { "formattedCitation" : "[21]", "plainTextFormattedCitation" : "[21]", "previouslyFormattedCitation" : "[21]" }, "properties" : { "noteIndex" : 0 }, "schema" : "https://github.com/citation-style-language/schema/raw/master/csl-citation.json" }</w:instrText>
            </w:r>
            <w:r w:rsidR="0029684A" w:rsidRPr="00847A38">
              <w:rPr>
                <w:rFonts w:ascii="Times" w:hAnsi="Times"/>
                <w:sz w:val="20"/>
                <w:szCs w:val="20"/>
                <w:lang w:val="en-US"/>
              </w:rPr>
              <w:fldChar w:fldCharType="separate"/>
            </w:r>
            <w:r w:rsidR="00847A38" w:rsidRPr="00847A38">
              <w:rPr>
                <w:rFonts w:ascii="Times" w:hAnsi="Times"/>
                <w:noProof/>
                <w:sz w:val="20"/>
                <w:szCs w:val="20"/>
                <w:lang w:val="en-US"/>
              </w:rPr>
              <w:t>[21]</w:t>
            </w:r>
            <w:r w:rsidR="0029684A" w:rsidRPr="00847A38">
              <w:rPr>
                <w:rFonts w:ascii="Times" w:hAnsi="Times"/>
                <w:sz w:val="20"/>
                <w:szCs w:val="20"/>
                <w:lang w:val="en-US"/>
              </w:rPr>
              <w:fldChar w:fldCharType="end"/>
            </w:r>
          </w:p>
        </w:tc>
        <w:tc>
          <w:tcPr>
            <w:tcW w:w="0" w:type="auto"/>
          </w:tcPr>
          <w:p w14:paraId="6F261380" w14:textId="524A5595" w:rsidR="00AD29D9" w:rsidRPr="00847A38" w:rsidRDefault="00B90C30" w:rsidP="00847A38">
            <w:pPr>
              <w:rPr>
                <w:rFonts w:ascii="Times" w:hAnsi="Times"/>
                <w:sz w:val="20"/>
                <w:szCs w:val="20"/>
                <w:lang w:val="en-US"/>
              </w:rPr>
            </w:pPr>
            <w:r w:rsidRPr="00847A38">
              <w:rPr>
                <w:rFonts w:ascii="Times" w:hAnsi="Times"/>
                <w:sz w:val="20"/>
                <w:szCs w:val="20"/>
                <w:lang w:val="en-US"/>
              </w:rPr>
              <w:t>Sweden</w:t>
            </w:r>
          </w:p>
        </w:tc>
        <w:tc>
          <w:tcPr>
            <w:tcW w:w="0" w:type="auto"/>
          </w:tcPr>
          <w:p w14:paraId="22C7199A" w14:textId="08C2157E" w:rsidR="00AD29D9" w:rsidRPr="00847A38" w:rsidRDefault="00B90C30" w:rsidP="00847A38">
            <w:pPr>
              <w:rPr>
                <w:rFonts w:ascii="Times" w:hAnsi="Times"/>
                <w:sz w:val="20"/>
                <w:szCs w:val="20"/>
                <w:lang w:val="en-US"/>
              </w:rPr>
            </w:pPr>
            <w:r w:rsidRPr="00847A38">
              <w:rPr>
                <w:rFonts w:ascii="Times" w:hAnsi="Times"/>
                <w:sz w:val="20"/>
                <w:szCs w:val="20"/>
                <w:lang w:val="en-US"/>
              </w:rPr>
              <w:t>2005</w:t>
            </w:r>
          </w:p>
        </w:tc>
        <w:tc>
          <w:tcPr>
            <w:tcW w:w="0" w:type="auto"/>
          </w:tcPr>
          <w:p w14:paraId="4B2DE569" w14:textId="18BF2684" w:rsidR="00AD29D9" w:rsidRPr="00847A38" w:rsidRDefault="00B90C30" w:rsidP="00847A38">
            <w:pPr>
              <w:rPr>
                <w:rFonts w:ascii="Times" w:hAnsi="Times"/>
                <w:sz w:val="20"/>
                <w:szCs w:val="20"/>
                <w:lang w:val="en-US"/>
              </w:rPr>
            </w:pPr>
            <w:r w:rsidRPr="00847A38">
              <w:rPr>
                <w:rFonts w:ascii="Times" w:hAnsi="Times"/>
                <w:sz w:val="20"/>
                <w:szCs w:val="20"/>
                <w:lang w:val="en-US"/>
              </w:rPr>
              <w:t>Prospective</w:t>
            </w:r>
          </w:p>
        </w:tc>
        <w:tc>
          <w:tcPr>
            <w:tcW w:w="0" w:type="auto"/>
          </w:tcPr>
          <w:p w14:paraId="3AC6DD63" w14:textId="78356214" w:rsidR="00AD29D9" w:rsidRPr="00847A38" w:rsidRDefault="00B90C30" w:rsidP="00847A38">
            <w:pPr>
              <w:rPr>
                <w:rFonts w:ascii="Times" w:hAnsi="Times"/>
                <w:sz w:val="20"/>
                <w:szCs w:val="20"/>
                <w:lang w:val="en-US"/>
              </w:rPr>
            </w:pPr>
            <w:r w:rsidRPr="00847A38">
              <w:rPr>
                <w:rFonts w:ascii="Times" w:hAnsi="Times"/>
                <w:sz w:val="20"/>
                <w:szCs w:val="20"/>
                <w:lang w:val="en-US"/>
              </w:rPr>
              <w:t>32 (16W/16M)</w:t>
            </w:r>
          </w:p>
        </w:tc>
        <w:tc>
          <w:tcPr>
            <w:tcW w:w="2151" w:type="dxa"/>
          </w:tcPr>
          <w:p w14:paraId="7A27FC8C" w14:textId="2B0BA165" w:rsidR="00AD29D9" w:rsidRPr="00847A38" w:rsidRDefault="004C1444" w:rsidP="00847A38">
            <w:pPr>
              <w:rPr>
                <w:rFonts w:ascii="Times" w:hAnsi="Times"/>
                <w:sz w:val="20"/>
                <w:szCs w:val="20"/>
                <w:lang w:val="en-US"/>
              </w:rPr>
            </w:pPr>
            <w:r w:rsidRPr="00847A38">
              <w:rPr>
                <w:rFonts w:ascii="Times" w:hAnsi="Times"/>
                <w:sz w:val="20"/>
                <w:szCs w:val="20"/>
                <w:lang w:val="en-US"/>
              </w:rPr>
              <w:t>Motiva</w:t>
            </w:r>
            <w:r w:rsidR="00AD29D9" w:rsidRPr="00847A38">
              <w:rPr>
                <w:rFonts w:ascii="Times" w:hAnsi="Times"/>
                <w:sz w:val="20"/>
                <w:szCs w:val="20"/>
                <w:lang w:val="en-US"/>
              </w:rPr>
              <w:t>tion (main indication)</w:t>
            </w:r>
          </w:p>
        </w:tc>
        <w:tc>
          <w:tcPr>
            <w:tcW w:w="1427" w:type="dxa"/>
          </w:tcPr>
          <w:p w14:paraId="6B10820A" w14:textId="41C7B6B7" w:rsidR="00AD29D9" w:rsidRPr="00847A38" w:rsidRDefault="0029684A" w:rsidP="00847A38">
            <w:pPr>
              <w:rPr>
                <w:rFonts w:ascii="Times" w:hAnsi="Times"/>
                <w:sz w:val="20"/>
                <w:szCs w:val="20"/>
                <w:lang w:val="en-US"/>
              </w:rPr>
            </w:pPr>
            <w:r w:rsidRPr="00847A38">
              <w:rPr>
                <w:rFonts w:ascii="Times" w:hAnsi="Times"/>
                <w:sz w:val="20"/>
                <w:szCs w:val="20"/>
                <w:lang w:val="en-US"/>
              </w:rPr>
              <w:t>X</w:t>
            </w:r>
          </w:p>
        </w:tc>
        <w:tc>
          <w:tcPr>
            <w:tcW w:w="1281" w:type="dxa"/>
          </w:tcPr>
          <w:p w14:paraId="7359AB25" w14:textId="77777777" w:rsidR="00AD29D9" w:rsidRPr="00847A38" w:rsidRDefault="00AD29D9" w:rsidP="00847A38">
            <w:pPr>
              <w:rPr>
                <w:rFonts w:ascii="Times" w:hAnsi="Times"/>
                <w:sz w:val="20"/>
                <w:szCs w:val="20"/>
                <w:lang w:val="en-US"/>
              </w:rPr>
            </w:pPr>
          </w:p>
        </w:tc>
        <w:tc>
          <w:tcPr>
            <w:tcW w:w="0" w:type="auto"/>
          </w:tcPr>
          <w:p w14:paraId="5207B1D6" w14:textId="3E08BBD1" w:rsidR="00AD29D9" w:rsidRPr="00847A38" w:rsidRDefault="00355E1D" w:rsidP="00847A38">
            <w:pPr>
              <w:rPr>
                <w:rFonts w:ascii="Times" w:hAnsi="Times"/>
                <w:sz w:val="20"/>
                <w:szCs w:val="20"/>
                <w:lang w:val="en-US"/>
              </w:rPr>
            </w:pPr>
            <w:r>
              <w:rPr>
                <w:rFonts w:ascii="Times" w:hAnsi="Times"/>
                <w:sz w:val="20"/>
                <w:szCs w:val="20"/>
                <w:lang w:val="en-US"/>
              </w:rPr>
              <w:t>Not mentioned</w:t>
            </w:r>
          </w:p>
        </w:tc>
      </w:tr>
      <w:tr w:rsidR="002B5B49" w:rsidRPr="00847A38" w14:paraId="537B9C7A" w14:textId="77777777" w:rsidTr="00847A38">
        <w:trPr>
          <w:divId w:val="114180001"/>
        </w:trPr>
        <w:tc>
          <w:tcPr>
            <w:tcW w:w="0" w:type="auto"/>
          </w:tcPr>
          <w:p w14:paraId="033A44E0" w14:textId="5C55D21B" w:rsidR="00B90C30" w:rsidRPr="00847A38" w:rsidRDefault="00B90C30" w:rsidP="00847A38">
            <w:pPr>
              <w:rPr>
                <w:rFonts w:ascii="Times" w:hAnsi="Times"/>
                <w:sz w:val="20"/>
                <w:szCs w:val="20"/>
                <w:lang w:val="en-US"/>
              </w:rPr>
            </w:pPr>
            <w:r w:rsidRPr="00847A38">
              <w:rPr>
                <w:rFonts w:ascii="Times" w:hAnsi="Times"/>
                <w:sz w:val="20"/>
                <w:szCs w:val="20"/>
                <w:lang w:val="en-US"/>
              </w:rPr>
              <w:t>Hågensli et al.</w:t>
            </w:r>
            <w:r w:rsidR="000E0CF7" w:rsidRPr="00847A38">
              <w:rPr>
                <w:rFonts w:ascii="Times" w:hAnsi="Times"/>
                <w:sz w:val="20"/>
                <w:szCs w:val="20"/>
                <w:lang w:val="en-US"/>
              </w:rPr>
              <w:fldChar w:fldCharType="begin" w:fldLock="1"/>
            </w:r>
            <w:r w:rsidR="00847A38" w:rsidRPr="00847A38">
              <w:rPr>
                <w:rFonts w:ascii="Times" w:hAnsi="Times"/>
                <w:sz w:val="20"/>
                <w:szCs w:val="20"/>
                <w:lang w:val="en-US"/>
              </w:rPr>
              <w:instrText>ADDIN CSL_CITATION { "citationItems" : [ { "id" : "ITEM-1", "itemData" : { "DOI" : "10.1016/j.jcms.2013.10.009", "ISSN" : "1878-4119", "PMID" : "24280105", "abstract" : "AIM: To examine factors associated with patients' decision to decline surgery.\n\nMATERIAL/METHODS: Of 470 consecutive patients referred to the University of Oslo from 2007 to 2009, a sample of 160 subjects who had not undergone surgery was identified and contacted. 236 operated patients from the same period served as a comparison group. Morphology was assessed from cephalograms and photographs, and the individuals' opinions were recorded using questionnaires.\n\nRESULTS: Dentofacial morphology represented normative treatment need and was generally similar except for a higher rate of severe negative overjet in the operated group (p\u00a0&lt;\u00a00.001). The most prevalent reasons for declining surgery were risks of side effects, the burden of care, and a general reluctance to undergo surgery. Many un-operated subjects were dissatisfied with their masticatory function and dentofacial appearance.\n\nCONCLUSION: Informed consent to orthognathic surgery represents a challenge both to the patient and the professional. The findings imply that patients' motives and fears should be explored during consultation and that the information provided should be adapted to the potential risks and benefits related to the actual treatment.", "author" : [ { "dropping-particle" : "", "family" : "H\u00e5gensli", "given" : "Niels", "non-dropping-particle" : "", "parse-names" : false, "suffix" : "" }, { "dropping-particle" : "", "family" : "Stenvik", "given" : "Arild", "non-dropping-particle" : "", "parse-names" : false, "suffix" : "" }, { "dropping-particle" : "", "family" : "Espeland", "given" : "Lisen", "non-dropping-particle" : "", "parse-names" : false, "suffix" : "" } ], "container-title" : "Journal of cranio-maxillo-facial surgery : official publication of the European Association for Cranio-Maxillo-Facial Surgery", "id" : "ITEM-1", "issue" : "5", "issued" : { "date-parts" : [ [ "2014", "7" ] ] }, "note" : "WEBSEARCH: CONSULTATION + ORTHOGNATHIC", "page" : "e296-300", "title" : "Patients offered orthognathic surgery: why do many refrain from treatment?", "type" : "article-journal", "volume" : "42" }, "uris" : [ "http://www.mendeley.com/documents/?uuid=1b4d3eb1-2254-4e8f-94f9-00d90fb51167" ] } ], "mendeley" : { "formattedCitation" : "[22]", "plainTextFormattedCitation" : "[22]", "previouslyFormattedCitation" : "[22]" }, "properties" : { "noteIndex" : 0 }, "schema" : "https://github.com/citation-style-language/schema/raw/master/csl-citation.json" }</w:instrText>
            </w:r>
            <w:r w:rsidR="000E0CF7" w:rsidRPr="00847A38">
              <w:rPr>
                <w:rFonts w:ascii="Times" w:hAnsi="Times"/>
                <w:sz w:val="20"/>
                <w:szCs w:val="20"/>
                <w:lang w:val="en-US"/>
              </w:rPr>
              <w:fldChar w:fldCharType="separate"/>
            </w:r>
            <w:r w:rsidR="00847A38" w:rsidRPr="00847A38">
              <w:rPr>
                <w:rFonts w:ascii="Times" w:hAnsi="Times"/>
                <w:noProof/>
                <w:sz w:val="20"/>
                <w:szCs w:val="20"/>
                <w:lang w:val="en-US"/>
              </w:rPr>
              <w:t>[22]</w:t>
            </w:r>
            <w:r w:rsidR="000E0CF7" w:rsidRPr="00847A38">
              <w:rPr>
                <w:rFonts w:ascii="Times" w:hAnsi="Times"/>
                <w:sz w:val="20"/>
                <w:szCs w:val="20"/>
                <w:lang w:val="en-US"/>
              </w:rPr>
              <w:fldChar w:fldCharType="end"/>
            </w:r>
          </w:p>
        </w:tc>
        <w:tc>
          <w:tcPr>
            <w:tcW w:w="0" w:type="auto"/>
          </w:tcPr>
          <w:p w14:paraId="6D70F254" w14:textId="479381F6" w:rsidR="00B90C30" w:rsidRPr="00847A38" w:rsidRDefault="00B90C30" w:rsidP="00847A38">
            <w:pPr>
              <w:rPr>
                <w:rFonts w:ascii="Times" w:hAnsi="Times"/>
                <w:sz w:val="20"/>
                <w:szCs w:val="20"/>
                <w:lang w:val="en-US"/>
              </w:rPr>
            </w:pPr>
            <w:r w:rsidRPr="00847A38">
              <w:rPr>
                <w:rFonts w:ascii="Times" w:hAnsi="Times"/>
                <w:sz w:val="20"/>
                <w:szCs w:val="20"/>
                <w:lang w:val="en-US"/>
              </w:rPr>
              <w:t>Norway</w:t>
            </w:r>
          </w:p>
        </w:tc>
        <w:tc>
          <w:tcPr>
            <w:tcW w:w="0" w:type="auto"/>
          </w:tcPr>
          <w:p w14:paraId="210D8020" w14:textId="00ED9B1B" w:rsidR="00B90C30" w:rsidRPr="00847A38" w:rsidRDefault="00B90C30" w:rsidP="00847A38">
            <w:pPr>
              <w:rPr>
                <w:rFonts w:ascii="Times" w:hAnsi="Times"/>
                <w:sz w:val="20"/>
                <w:szCs w:val="20"/>
                <w:lang w:val="en-US"/>
              </w:rPr>
            </w:pPr>
            <w:r w:rsidRPr="00847A38">
              <w:rPr>
                <w:rFonts w:ascii="Times" w:hAnsi="Times"/>
                <w:sz w:val="20"/>
                <w:szCs w:val="20"/>
                <w:lang w:val="en-US"/>
              </w:rPr>
              <w:t>2013</w:t>
            </w:r>
          </w:p>
        </w:tc>
        <w:tc>
          <w:tcPr>
            <w:tcW w:w="0" w:type="auto"/>
          </w:tcPr>
          <w:p w14:paraId="7CAFF066" w14:textId="77777777" w:rsidR="00B90C30" w:rsidRPr="00847A38" w:rsidRDefault="00B90C30" w:rsidP="00847A38">
            <w:pPr>
              <w:rPr>
                <w:rFonts w:ascii="Times" w:hAnsi="Times"/>
                <w:sz w:val="20"/>
                <w:szCs w:val="20"/>
                <w:lang w:val="en-US"/>
              </w:rPr>
            </w:pPr>
            <w:r w:rsidRPr="00847A38">
              <w:rPr>
                <w:rFonts w:ascii="Times" w:hAnsi="Times"/>
                <w:sz w:val="20"/>
                <w:szCs w:val="20"/>
                <w:lang w:val="en-US"/>
              </w:rPr>
              <w:t>Retrospective</w:t>
            </w:r>
          </w:p>
          <w:p w14:paraId="1DF8FC8E" w14:textId="01D8C87D" w:rsidR="0029684A" w:rsidRPr="00847A38" w:rsidRDefault="0029684A" w:rsidP="00847A38">
            <w:pPr>
              <w:rPr>
                <w:rFonts w:ascii="Times" w:hAnsi="Times"/>
                <w:sz w:val="20"/>
                <w:szCs w:val="20"/>
                <w:lang w:val="en-US"/>
              </w:rPr>
            </w:pPr>
            <w:r w:rsidRPr="00847A38">
              <w:rPr>
                <w:rFonts w:ascii="Times" w:hAnsi="Times"/>
                <w:sz w:val="20"/>
                <w:szCs w:val="20"/>
                <w:lang w:val="en-US"/>
              </w:rPr>
              <w:t>Case-control</w:t>
            </w:r>
            <w:r w:rsidR="000E0CF7" w:rsidRPr="00847A38">
              <w:rPr>
                <w:rFonts w:ascii="Times" w:hAnsi="Times"/>
                <w:sz w:val="20"/>
                <w:szCs w:val="20"/>
                <w:lang w:val="en-US"/>
              </w:rPr>
              <w:t>?</w:t>
            </w:r>
          </w:p>
        </w:tc>
        <w:tc>
          <w:tcPr>
            <w:tcW w:w="0" w:type="auto"/>
          </w:tcPr>
          <w:p w14:paraId="73FD9E83" w14:textId="00BD73C8" w:rsidR="00B90C30" w:rsidRPr="00847A38" w:rsidRDefault="00B90C30" w:rsidP="00847A38">
            <w:pPr>
              <w:rPr>
                <w:rFonts w:ascii="Times" w:hAnsi="Times"/>
                <w:sz w:val="20"/>
                <w:szCs w:val="20"/>
                <w:lang w:val="en-US"/>
              </w:rPr>
            </w:pPr>
            <w:r w:rsidRPr="00847A38">
              <w:rPr>
                <w:rFonts w:ascii="Times" w:hAnsi="Times"/>
                <w:sz w:val="20"/>
                <w:szCs w:val="20"/>
                <w:lang w:val="en-US"/>
              </w:rPr>
              <w:t>396 (192W/204M)</w:t>
            </w:r>
            <w:r w:rsidR="0029684A" w:rsidRPr="00847A38">
              <w:rPr>
                <w:rFonts w:ascii="Times" w:hAnsi="Times"/>
                <w:sz w:val="20"/>
                <w:szCs w:val="20"/>
                <w:lang w:val="en-US"/>
              </w:rPr>
              <w:t xml:space="preserve"> incl. control group of 160</w:t>
            </w:r>
          </w:p>
        </w:tc>
        <w:tc>
          <w:tcPr>
            <w:tcW w:w="2151" w:type="dxa"/>
          </w:tcPr>
          <w:p w14:paraId="63B6FA01" w14:textId="09377BAA" w:rsidR="00B90C30" w:rsidRPr="00847A38" w:rsidRDefault="000E0CF7" w:rsidP="00847A38">
            <w:pPr>
              <w:rPr>
                <w:rFonts w:ascii="Times" w:hAnsi="Times"/>
                <w:sz w:val="20"/>
                <w:szCs w:val="20"/>
                <w:lang w:val="en-US"/>
              </w:rPr>
            </w:pPr>
            <w:r w:rsidRPr="00847A38">
              <w:rPr>
                <w:rFonts w:ascii="Times" w:hAnsi="Times"/>
                <w:sz w:val="20"/>
                <w:szCs w:val="20"/>
                <w:lang w:val="en-US"/>
              </w:rPr>
              <w:t>Motivation</w:t>
            </w:r>
          </w:p>
        </w:tc>
        <w:tc>
          <w:tcPr>
            <w:tcW w:w="1427" w:type="dxa"/>
          </w:tcPr>
          <w:p w14:paraId="7DA1E049" w14:textId="55CAC6FA" w:rsidR="00B90C30" w:rsidRPr="00847A38" w:rsidRDefault="000E0CF7" w:rsidP="00847A38">
            <w:pPr>
              <w:rPr>
                <w:rFonts w:ascii="Times" w:hAnsi="Times"/>
                <w:sz w:val="20"/>
                <w:szCs w:val="20"/>
                <w:lang w:val="en-US"/>
              </w:rPr>
            </w:pPr>
            <w:r w:rsidRPr="00847A38">
              <w:rPr>
                <w:rFonts w:ascii="Times" w:hAnsi="Times"/>
                <w:sz w:val="20"/>
                <w:szCs w:val="20"/>
                <w:lang w:val="en-US"/>
              </w:rPr>
              <w:t>X</w:t>
            </w:r>
          </w:p>
        </w:tc>
        <w:tc>
          <w:tcPr>
            <w:tcW w:w="1281" w:type="dxa"/>
          </w:tcPr>
          <w:p w14:paraId="46264E40" w14:textId="77777777" w:rsidR="00B90C30" w:rsidRPr="00847A38" w:rsidRDefault="00B90C30" w:rsidP="00847A38">
            <w:pPr>
              <w:rPr>
                <w:rFonts w:ascii="Times" w:hAnsi="Times"/>
                <w:sz w:val="20"/>
                <w:szCs w:val="20"/>
                <w:lang w:val="en-US"/>
              </w:rPr>
            </w:pPr>
          </w:p>
        </w:tc>
        <w:tc>
          <w:tcPr>
            <w:tcW w:w="0" w:type="auto"/>
          </w:tcPr>
          <w:p w14:paraId="4694BF4C" w14:textId="32D83604" w:rsidR="00B90C30" w:rsidRPr="00847A38" w:rsidRDefault="00355E1D" w:rsidP="00847A38">
            <w:pPr>
              <w:rPr>
                <w:rFonts w:ascii="Times" w:hAnsi="Times"/>
                <w:sz w:val="20"/>
                <w:szCs w:val="20"/>
                <w:lang w:val="en-US"/>
              </w:rPr>
            </w:pPr>
            <w:r>
              <w:rPr>
                <w:rFonts w:ascii="Times" w:hAnsi="Times"/>
                <w:sz w:val="20"/>
                <w:szCs w:val="20"/>
                <w:lang w:val="en-US"/>
              </w:rPr>
              <w:t>Not mentioned</w:t>
            </w:r>
          </w:p>
        </w:tc>
      </w:tr>
      <w:tr w:rsidR="002B5B49" w:rsidRPr="00847A38" w14:paraId="2A74FD7C" w14:textId="77777777" w:rsidTr="00847A38">
        <w:trPr>
          <w:divId w:val="114180001"/>
        </w:trPr>
        <w:tc>
          <w:tcPr>
            <w:tcW w:w="0" w:type="auto"/>
          </w:tcPr>
          <w:p w14:paraId="2D8A1C13" w14:textId="4CFD47C7" w:rsidR="00CD0DB5" w:rsidRPr="00847A38" w:rsidRDefault="00CD0DB5" w:rsidP="00847A38">
            <w:pPr>
              <w:rPr>
                <w:rFonts w:ascii="Times" w:hAnsi="Times"/>
                <w:sz w:val="20"/>
                <w:szCs w:val="20"/>
                <w:lang w:val="en-US"/>
              </w:rPr>
            </w:pPr>
            <w:r w:rsidRPr="00847A38">
              <w:rPr>
                <w:rFonts w:ascii="Times" w:hAnsi="Times"/>
                <w:sz w:val="20"/>
                <w:szCs w:val="20"/>
                <w:lang w:val="en-US"/>
              </w:rPr>
              <w:t xml:space="preserve"> </w:t>
            </w:r>
            <w:r w:rsidR="002169D9" w:rsidRPr="00847A38">
              <w:rPr>
                <w:rFonts w:ascii="Times" w:hAnsi="Times"/>
                <w:sz w:val="20"/>
                <w:szCs w:val="20"/>
                <w:lang w:val="en-US"/>
              </w:rPr>
              <w:t>Wolford et al.</w:t>
            </w:r>
            <w:r w:rsidR="002169D9" w:rsidRPr="00847A38">
              <w:rPr>
                <w:rFonts w:ascii="Times" w:hAnsi="Times"/>
                <w:sz w:val="20"/>
                <w:szCs w:val="20"/>
                <w:lang w:val="en-US"/>
              </w:rPr>
              <w:fldChar w:fldCharType="begin" w:fldLock="1"/>
            </w:r>
            <w:r w:rsidR="00847A38" w:rsidRPr="00847A38">
              <w:rPr>
                <w:rFonts w:ascii="Times" w:hAnsi="Times"/>
                <w:sz w:val="20"/>
                <w:szCs w:val="20"/>
                <w:lang w:val="en-US"/>
              </w:rPr>
              <w:instrText>ADDIN CSL_CITATION { "citationItems" : [ { "id" : "ITEM-1", "itemData" : { "DOI" : "10.1053/joms.2003.50131", "ISSN" : "0278-2391", "PMID" : "12796870", "abstract" : "PURPOSE: We sought to evaluate the effects of orthognathic surgery on temporomandibular joint (TMJ) dysfunction in patients with known presurgical TMJ internal derangement who underwent double-jaw surgery for the treatment of dentofacial deformities.\n\nPATIENTS AND METHODS: Treatment records of 25 patients with magnetic resonance imaging and clinical verification of preoperative TMJ articular disc displacement who underwent double-jaw surgery only were retrospectively evaluated, with an average follow-up of 2.2 years. Signs and symptoms of TMJ dysfunction, including pain, range of mandibular motion, and presence/absence of TMJ sounds, were subjectively (visual analog scales) and objectively evaluated at presurgery (T1), immediately postsurgery (T2), and at longest follow-up (T3). Surgical change (T2-T1) and long-term stability of results (T3-T2) were calculated using the superimposition of lateral cephalometric and tomographic tracings.\n\nRESULTS: Presurgery, 16% of the patients had only TMJ pain, 64% had only TMJ sounds, and 20% had both TMJ pain and sounds. Postsurgery, 24% of the patients had only TMJ pain, 16% had only TMJ sounds, and 60% has both TMJ pain and sounds. Thus, presurgery 36% of the patients had TMJ pain, and postsurgery, 84% had pain. Average visual analog scale pain scores were significantly higher postsurgery and none of the patients with presurgery TMJ pain had relief of pain postsurgery. In addition, 6 patients (24%) developed condylar resorption postsurgically, resulting in the development of Class II open bite malocclusion.\n\nCONCLUSIONS: Patients with preexisting TMJ dysfunction undergoing orthognathic surgery, particularly mandibular advancement, are likely to have significant worsening of the TMJ dysfunction postsurgery. TMJ dysfunction must be closely evaluated, treated if necessary, and monitored in the orthognathic surgery patient.", "author" : [ { "dropping-particle" : "", "family" : "Wolford", "given" : "Larry M", "non-dropping-particle" : "", "parse-names" : false, "suffix" : "" }, { "dropping-particle" : "", "family" : "Reiche-Fischel", "given" : "Oscar", "non-dropping-particle" : "", "parse-names" : false, "suffix" : "" }, { "dropping-particle" : "", "family" : "Mehra", "given" : "Pushkar", "non-dropping-particle" : "", "parse-names" : false, "suffix" : "" } ], "container-title" : "Journal of oral and maxillofacial surgery : official journal of the American Association of Oral and Maxillofacial Surgeons", "id" : "ITEM-1", "issue" : "6", "issued" : { "date-parts" : [ [ "2003", "6" ] ] }, "note" : "Hand search", "page" : "655-60; discussion 661", "title" : "Changes in temporomandibular joint dysfunction after orthognathic surgery.", "type" : "article-journal", "volume" : "61" }, "uris" : [ "http://www.mendeley.com/documents/?uuid=85a927a0-a856-41d0-be23-9a8648b75f39" ] } ], "mendeley" : { "formattedCitation" : "[23]", "plainTextFormattedCitation" : "[23]", "previouslyFormattedCitation" : "[23]" }, "properties" : { "noteIndex" : 0 }, "schema" : "https://github.com/citation-style-language/schema/raw/master/csl-citation.json" }</w:instrText>
            </w:r>
            <w:r w:rsidR="002169D9" w:rsidRPr="00847A38">
              <w:rPr>
                <w:rFonts w:ascii="Times" w:hAnsi="Times"/>
                <w:sz w:val="20"/>
                <w:szCs w:val="20"/>
                <w:lang w:val="en-US"/>
              </w:rPr>
              <w:fldChar w:fldCharType="separate"/>
            </w:r>
            <w:r w:rsidR="00847A38" w:rsidRPr="00847A38">
              <w:rPr>
                <w:rFonts w:ascii="Times" w:hAnsi="Times"/>
                <w:noProof/>
                <w:sz w:val="20"/>
                <w:szCs w:val="20"/>
                <w:lang w:val="en-US"/>
              </w:rPr>
              <w:t>[23]</w:t>
            </w:r>
            <w:r w:rsidR="002169D9" w:rsidRPr="00847A38">
              <w:rPr>
                <w:rFonts w:ascii="Times" w:hAnsi="Times"/>
                <w:sz w:val="20"/>
                <w:szCs w:val="20"/>
                <w:lang w:val="en-US"/>
              </w:rPr>
              <w:fldChar w:fldCharType="end"/>
            </w:r>
          </w:p>
        </w:tc>
        <w:tc>
          <w:tcPr>
            <w:tcW w:w="0" w:type="auto"/>
          </w:tcPr>
          <w:p w14:paraId="2663BDED" w14:textId="2C5DF6C8" w:rsidR="00CD0DB5" w:rsidRPr="00847A38" w:rsidRDefault="002169D9" w:rsidP="00847A38">
            <w:pPr>
              <w:rPr>
                <w:rFonts w:ascii="Times" w:hAnsi="Times"/>
                <w:sz w:val="20"/>
                <w:szCs w:val="20"/>
                <w:lang w:val="en-US"/>
              </w:rPr>
            </w:pPr>
            <w:r w:rsidRPr="00847A38">
              <w:rPr>
                <w:rFonts w:ascii="Times" w:hAnsi="Times"/>
                <w:sz w:val="20"/>
                <w:szCs w:val="20"/>
                <w:lang w:val="en-US"/>
              </w:rPr>
              <w:t>United States</w:t>
            </w:r>
          </w:p>
        </w:tc>
        <w:tc>
          <w:tcPr>
            <w:tcW w:w="0" w:type="auto"/>
          </w:tcPr>
          <w:p w14:paraId="5B79E957" w14:textId="2BD1325F" w:rsidR="00CD0DB5" w:rsidRPr="00847A38" w:rsidRDefault="002169D9" w:rsidP="00847A38">
            <w:pPr>
              <w:rPr>
                <w:rFonts w:ascii="Times" w:hAnsi="Times"/>
                <w:sz w:val="20"/>
                <w:szCs w:val="20"/>
                <w:lang w:val="en-US"/>
              </w:rPr>
            </w:pPr>
            <w:r w:rsidRPr="00847A38">
              <w:rPr>
                <w:rFonts w:ascii="Times" w:hAnsi="Times"/>
                <w:sz w:val="20"/>
                <w:szCs w:val="20"/>
                <w:lang w:val="en-US"/>
              </w:rPr>
              <w:t>2003</w:t>
            </w:r>
          </w:p>
        </w:tc>
        <w:tc>
          <w:tcPr>
            <w:tcW w:w="0" w:type="auto"/>
          </w:tcPr>
          <w:p w14:paraId="6EF989F1" w14:textId="6DB5079B" w:rsidR="00CD0DB5" w:rsidRPr="00847A38" w:rsidRDefault="002169D9" w:rsidP="00847A38">
            <w:pPr>
              <w:rPr>
                <w:rFonts w:ascii="Times" w:hAnsi="Times"/>
                <w:sz w:val="20"/>
                <w:szCs w:val="20"/>
                <w:lang w:val="en-US"/>
              </w:rPr>
            </w:pPr>
            <w:r w:rsidRPr="00847A38">
              <w:rPr>
                <w:rFonts w:ascii="Times" w:hAnsi="Times"/>
                <w:sz w:val="20"/>
                <w:szCs w:val="20"/>
                <w:lang w:val="en-US"/>
              </w:rPr>
              <w:t>Retrospective</w:t>
            </w:r>
          </w:p>
        </w:tc>
        <w:tc>
          <w:tcPr>
            <w:tcW w:w="0" w:type="auto"/>
          </w:tcPr>
          <w:p w14:paraId="762DCC7F" w14:textId="0A054723" w:rsidR="00CD0DB5" w:rsidRPr="00847A38" w:rsidRDefault="002169D9" w:rsidP="00847A38">
            <w:pPr>
              <w:rPr>
                <w:rFonts w:ascii="Times" w:hAnsi="Times"/>
                <w:sz w:val="20"/>
                <w:szCs w:val="20"/>
                <w:lang w:val="en-US"/>
              </w:rPr>
            </w:pPr>
            <w:r w:rsidRPr="00847A38">
              <w:rPr>
                <w:rFonts w:ascii="Times" w:hAnsi="Times"/>
                <w:sz w:val="20"/>
                <w:szCs w:val="20"/>
                <w:lang w:val="en-US"/>
              </w:rPr>
              <w:t>25 (23W/2M)</w:t>
            </w:r>
          </w:p>
        </w:tc>
        <w:tc>
          <w:tcPr>
            <w:tcW w:w="2151" w:type="dxa"/>
          </w:tcPr>
          <w:p w14:paraId="560B1E58" w14:textId="54F1A73D" w:rsidR="00CD0DB5" w:rsidRPr="00847A38" w:rsidRDefault="002169D9" w:rsidP="00847A38">
            <w:pPr>
              <w:rPr>
                <w:rFonts w:ascii="Times" w:hAnsi="Times"/>
                <w:sz w:val="20"/>
                <w:szCs w:val="20"/>
                <w:lang w:val="en-US"/>
              </w:rPr>
            </w:pPr>
            <w:r w:rsidRPr="00847A38">
              <w:rPr>
                <w:rFonts w:ascii="Times" w:hAnsi="Times"/>
                <w:sz w:val="20"/>
                <w:szCs w:val="20"/>
                <w:lang w:val="en-US"/>
              </w:rPr>
              <w:t>Outcome. Effect on TMJ dysfunction</w:t>
            </w:r>
          </w:p>
        </w:tc>
        <w:tc>
          <w:tcPr>
            <w:tcW w:w="1427" w:type="dxa"/>
          </w:tcPr>
          <w:p w14:paraId="0397F9B4" w14:textId="55A9B895" w:rsidR="00CD0DB5" w:rsidRPr="00847A38" w:rsidRDefault="002169D9" w:rsidP="00847A38">
            <w:pPr>
              <w:rPr>
                <w:rFonts w:ascii="Times" w:hAnsi="Times"/>
                <w:sz w:val="20"/>
                <w:szCs w:val="20"/>
                <w:lang w:val="en-US"/>
              </w:rPr>
            </w:pPr>
            <w:r w:rsidRPr="00847A38">
              <w:rPr>
                <w:rFonts w:ascii="Times" w:hAnsi="Times"/>
                <w:sz w:val="20"/>
                <w:szCs w:val="20"/>
                <w:lang w:val="en-US"/>
              </w:rPr>
              <w:t>X</w:t>
            </w:r>
          </w:p>
        </w:tc>
        <w:tc>
          <w:tcPr>
            <w:tcW w:w="1281" w:type="dxa"/>
          </w:tcPr>
          <w:p w14:paraId="785318CC" w14:textId="6B1B1BC5" w:rsidR="00CD0DB5" w:rsidRPr="00847A38" w:rsidRDefault="002169D9" w:rsidP="00847A38">
            <w:pPr>
              <w:rPr>
                <w:rFonts w:ascii="Times" w:hAnsi="Times"/>
                <w:sz w:val="20"/>
                <w:szCs w:val="20"/>
                <w:lang w:val="en-US"/>
              </w:rPr>
            </w:pPr>
            <w:r w:rsidRPr="00847A38">
              <w:rPr>
                <w:rFonts w:ascii="Times" w:hAnsi="Times"/>
                <w:sz w:val="20"/>
                <w:szCs w:val="20"/>
                <w:lang w:val="en-US"/>
              </w:rPr>
              <w:t>X</w:t>
            </w:r>
          </w:p>
        </w:tc>
        <w:tc>
          <w:tcPr>
            <w:tcW w:w="0" w:type="auto"/>
          </w:tcPr>
          <w:p w14:paraId="26EB42F8" w14:textId="62E6306F" w:rsidR="00CD0DB5" w:rsidRPr="00847A38" w:rsidRDefault="00865587" w:rsidP="00847A38">
            <w:pPr>
              <w:rPr>
                <w:rFonts w:ascii="Times" w:hAnsi="Times"/>
                <w:sz w:val="20"/>
                <w:szCs w:val="20"/>
                <w:lang w:val="en-US"/>
              </w:rPr>
            </w:pPr>
            <w:r w:rsidRPr="00847A38">
              <w:rPr>
                <w:rFonts w:ascii="Times" w:hAnsi="Times"/>
                <w:sz w:val="20"/>
                <w:szCs w:val="20"/>
                <w:lang w:val="en-US"/>
              </w:rPr>
              <w:t>81 months</w:t>
            </w:r>
          </w:p>
        </w:tc>
      </w:tr>
      <w:tr w:rsidR="002B5B49" w:rsidRPr="00847A38" w14:paraId="37E60B46" w14:textId="77777777" w:rsidTr="00847A38">
        <w:trPr>
          <w:divId w:val="114180001"/>
        </w:trPr>
        <w:tc>
          <w:tcPr>
            <w:tcW w:w="0" w:type="auto"/>
          </w:tcPr>
          <w:p w14:paraId="0410BE7F" w14:textId="0F4B4470" w:rsidR="002B5B49" w:rsidRPr="00847A38" w:rsidRDefault="002B5B49" w:rsidP="00847A38">
            <w:pPr>
              <w:rPr>
                <w:rFonts w:ascii="Times" w:hAnsi="Times"/>
                <w:sz w:val="20"/>
                <w:szCs w:val="20"/>
                <w:lang w:val="en-US"/>
              </w:rPr>
            </w:pPr>
            <w:r w:rsidRPr="00847A38">
              <w:rPr>
                <w:rFonts w:ascii="Times" w:hAnsi="Times"/>
                <w:sz w:val="20"/>
                <w:szCs w:val="20"/>
                <w:lang w:val="en-US"/>
              </w:rPr>
              <w:t>Larsen et al.</w:t>
            </w:r>
          </w:p>
        </w:tc>
        <w:tc>
          <w:tcPr>
            <w:tcW w:w="0" w:type="auto"/>
          </w:tcPr>
          <w:p w14:paraId="1168CD4E" w14:textId="558D4584" w:rsidR="002B5B49" w:rsidRPr="00847A38" w:rsidRDefault="002B5B49" w:rsidP="00847A38">
            <w:pPr>
              <w:rPr>
                <w:rFonts w:ascii="Times" w:hAnsi="Times"/>
                <w:sz w:val="20"/>
                <w:szCs w:val="20"/>
                <w:lang w:val="en-US"/>
              </w:rPr>
            </w:pPr>
            <w:r w:rsidRPr="00847A38">
              <w:rPr>
                <w:rFonts w:ascii="Times" w:hAnsi="Times"/>
                <w:sz w:val="20"/>
                <w:szCs w:val="20"/>
                <w:lang w:val="en-US"/>
              </w:rPr>
              <w:t>Denmark</w:t>
            </w:r>
          </w:p>
        </w:tc>
        <w:tc>
          <w:tcPr>
            <w:tcW w:w="0" w:type="auto"/>
          </w:tcPr>
          <w:p w14:paraId="7C98E187" w14:textId="27B0C813" w:rsidR="002B5B49" w:rsidRPr="00847A38" w:rsidRDefault="002B5B49" w:rsidP="00847A38">
            <w:pPr>
              <w:rPr>
                <w:rFonts w:ascii="Times" w:hAnsi="Times"/>
                <w:sz w:val="20"/>
                <w:szCs w:val="20"/>
                <w:lang w:val="en-US"/>
              </w:rPr>
            </w:pPr>
            <w:r w:rsidRPr="00847A38">
              <w:rPr>
                <w:rFonts w:ascii="Times" w:hAnsi="Times"/>
                <w:sz w:val="20"/>
                <w:szCs w:val="20"/>
                <w:lang w:val="en-US"/>
              </w:rPr>
              <w:t>2015</w:t>
            </w:r>
          </w:p>
        </w:tc>
        <w:tc>
          <w:tcPr>
            <w:tcW w:w="0" w:type="auto"/>
          </w:tcPr>
          <w:p w14:paraId="10110117" w14:textId="43F842B1" w:rsidR="002B5B49" w:rsidRPr="00847A38" w:rsidRDefault="002B5B49" w:rsidP="00847A38">
            <w:pPr>
              <w:rPr>
                <w:rFonts w:ascii="Times" w:hAnsi="Times"/>
                <w:sz w:val="20"/>
                <w:szCs w:val="20"/>
                <w:lang w:val="en-US"/>
              </w:rPr>
            </w:pPr>
            <w:r w:rsidRPr="00847A38">
              <w:rPr>
                <w:rFonts w:ascii="Times" w:hAnsi="Times"/>
                <w:sz w:val="20"/>
                <w:szCs w:val="20"/>
                <w:lang w:val="en-US"/>
              </w:rPr>
              <w:t>Retrospective</w:t>
            </w:r>
          </w:p>
        </w:tc>
        <w:tc>
          <w:tcPr>
            <w:tcW w:w="0" w:type="auto"/>
          </w:tcPr>
          <w:p w14:paraId="77638B5F" w14:textId="59F7A55F" w:rsidR="002B5B49" w:rsidRPr="00847A38" w:rsidRDefault="002B5B49" w:rsidP="00847A38">
            <w:pPr>
              <w:rPr>
                <w:rFonts w:ascii="Times" w:hAnsi="Times"/>
                <w:sz w:val="20"/>
                <w:szCs w:val="20"/>
                <w:lang w:val="en-US"/>
              </w:rPr>
            </w:pPr>
            <w:r w:rsidRPr="00847A38">
              <w:rPr>
                <w:rFonts w:ascii="Times" w:hAnsi="Times"/>
                <w:sz w:val="20"/>
                <w:szCs w:val="20"/>
                <w:lang w:val="en-US"/>
              </w:rPr>
              <w:t>105 (93W/12M)</w:t>
            </w:r>
          </w:p>
        </w:tc>
        <w:tc>
          <w:tcPr>
            <w:tcW w:w="2151" w:type="dxa"/>
          </w:tcPr>
          <w:p w14:paraId="40E6A84F" w14:textId="56589EBC" w:rsidR="002B5B49" w:rsidRPr="00847A38" w:rsidRDefault="002B5B49" w:rsidP="00847A38">
            <w:pPr>
              <w:rPr>
                <w:rFonts w:ascii="Times" w:hAnsi="Times"/>
                <w:sz w:val="20"/>
                <w:szCs w:val="20"/>
                <w:lang w:val="en-US"/>
              </w:rPr>
            </w:pPr>
            <w:r w:rsidRPr="00847A38">
              <w:rPr>
                <w:rFonts w:ascii="Times" w:hAnsi="Times"/>
                <w:sz w:val="20"/>
                <w:szCs w:val="20"/>
                <w:lang w:val="en-US"/>
              </w:rPr>
              <w:t>Outcome</w:t>
            </w:r>
            <w:r w:rsidR="004C1444" w:rsidRPr="00847A38">
              <w:rPr>
                <w:rFonts w:ascii="Times" w:hAnsi="Times"/>
                <w:sz w:val="20"/>
                <w:szCs w:val="20"/>
                <w:lang w:val="en-US"/>
              </w:rPr>
              <w:t xml:space="preserve"> and motivation</w:t>
            </w:r>
          </w:p>
        </w:tc>
        <w:tc>
          <w:tcPr>
            <w:tcW w:w="1427" w:type="dxa"/>
          </w:tcPr>
          <w:p w14:paraId="6BD3AEA5" w14:textId="32494B27" w:rsidR="002B5B49" w:rsidRPr="00847A38" w:rsidRDefault="002B5B49" w:rsidP="00847A38">
            <w:pPr>
              <w:rPr>
                <w:rFonts w:ascii="Times" w:hAnsi="Times"/>
                <w:sz w:val="20"/>
                <w:szCs w:val="20"/>
                <w:lang w:val="en-US"/>
              </w:rPr>
            </w:pPr>
            <w:r w:rsidRPr="00847A38">
              <w:rPr>
                <w:rFonts w:ascii="Times" w:hAnsi="Times"/>
                <w:sz w:val="20"/>
                <w:szCs w:val="20"/>
                <w:lang w:val="en-US"/>
              </w:rPr>
              <w:t>X</w:t>
            </w:r>
          </w:p>
        </w:tc>
        <w:tc>
          <w:tcPr>
            <w:tcW w:w="1281" w:type="dxa"/>
          </w:tcPr>
          <w:p w14:paraId="32DFE8E0" w14:textId="77777777" w:rsidR="002B5B49" w:rsidRPr="00847A38" w:rsidRDefault="002B5B49" w:rsidP="00847A38">
            <w:pPr>
              <w:rPr>
                <w:rFonts w:ascii="Times" w:hAnsi="Times"/>
                <w:sz w:val="20"/>
                <w:szCs w:val="20"/>
                <w:lang w:val="en-US"/>
              </w:rPr>
            </w:pPr>
          </w:p>
        </w:tc>
        <w:tc>
          <w:tcPr>
            <w:tcW w:w="0" w:type="auto"/>
          </w:tcPr>
          <w:p w14:paraId="52F5B9CF" w14:textId="487955E2" w:rsidR="002B5B49" w:rsidRPr="00847A38" w:rsidRDefault="00355E1D" w:rsidP="00847A38">
            <w:pPr>
              <w:rPr>
                <w:rFonts w:ascii="Times" w:hAnsi="Times"/>
                <w:sz w:val="20"/>
                <w:szCs w:val="20"/>
                <w:lang w:val="en-US"/>
              </w:rPr>
            </w:pPr>
            <w:r>
              <w:rPr>
                <w:rFonts w:ascii="Times" w:hAnsi="Times"/>
                <w:sz w:val="20"/>
                <w:szCs w:val="20"/>
                <w:lang w:val="en-US"/>
              </w:rPr>
              <w:t>Not mentioned</w:t>
            </w:r>
            <w:r w:rsidRPr="00847A38">
              <w:rPr>
                <w:rFonts w:ascii="Times" w:hAnsi="Times"/>
                <w:sz w:val="20"/>
                <w:szCs w:val="20"/>
                <w:lang w:val="en-US"/>
              </w:rPr>
              <w:t xml:space="preserve"> </w:t>
            </w:r>
            <w:r w:rsidR="002B5B49" w:rsidRPr="00847A38">
              <w:rPr>
                <w:rFonts w:ascii="Times" w:hAnsi="Times"/>
                <w:sz w:val="20"/>
                <w:szCs w:val="20"/>
                <w:lang w:val="en-US"/>
              </w:rPr>
              <w:t xml:space="preserve"> (&gt; 60 months)</w:t>
            </w:r>
          </w:p>
        </w:tc>
      </w:tr>
    </w:tbl>
    <w:p w14:paraId="02BDD7F2" w14:textId="77777777" w:rsidR="00197200" w:rsidRPr="00847A38" w:rsidRDefault="00197200">
      <w:pPr>
        <w:pStyle w:val="Normalweb"/>
        <w:ind w:left="640" w:hanging="640"/>
        <w:divId w:val="1173568863"/>
        <w:rPr>
          <w:lang w:val="en-US"/>
        </w:rPr>
      </w:pPr>
    </w:p>
    <w:p w14:paraId="481205A7" w14:textId="77777777" w:rsidR="00197200" w:rsidRPr="00847A38" w:rsidRDefault="00197200">
      <w:pPr>
        <w:pStyle w:val="Normalweb"/>
        <w:ind w:left="640" w:hanging="640"/>
        <w:divId w:val="1173568863"/>
        <w:rPr>
          <w:lang w:val="en-US"/>
        </w:rPr>
      </w:pPr>
    </w:p>
    <w:p w14:paraId="72A345C8" w14:textId="4E8A0EDD" w:rsidR="00197200" w:rsidRPr="00847A38" w:rsidRDefault="00197200">
      <w:pPr>
        <w:pStyle w:val="Normalweb"/>
        <w:ind w:left="640" w:hanging="640"/>
        <w:divId w:val="1173568863"/>
        <w:rPr>
          <w:lang w:val="en-US"/>
        </w:rPr>
      </w:pPr>
      <w:r w:rsidRPr="00847A38">
        <w:rPr>
          <w:lang w:val="en-US"/>
        </w:rPr>
        <w:br w:type="column"/>
      </w:r>
      <w:r w:rsidRPr="008E5D20">
        <w:rPr>
          <w:i/>
          <w:lang w:val="en-US"/>
        </w:rPr>
        <w:t xml:space="preserve">Table </w:t>
      </w:r>
      <w:r w:rsidR="000032EF" w:rsidRPr="008E5D20">
        <w:rPr>
          <w:i/>
          <w:lang w:val="en-US"/>
        </w:rPr>
        <w:t>4</w:t>
      </w:r>
      <w:r w:rsidR="000032EF">
        <w:rPr>
          <w:lang w:val="en-US"/>
        </w:rPr>
        <w:t>: Indications for Orthognathic Treatment.</w:t>
      </w:r>
    </w:p>
    <w:tbl>
      <w:tblPr>
        <w:tblStyle w:val="Tabelgitter"/>
        <w:tblW w:w="5050" w:type="pct"/>
        <w:tblLook w:val="04A0" w:firstRow="1" w:lastRow="0" w:firstColumn="1" w:lastColumn="0" w:noHBand="0" w:noVBand="1"/>
      </w:tblPr>
      <w:tblGrid>
        <w:gridCol w:w="1212"/>
        <w:gridCol w:w="1802"/>
        <w:gridCol w:w="1121"/>
        <w:gridCol w:w="1151"/>
        <w:gridCol w:w="1152"/>
        <w:gridCol w:w="1183"/>
        <w:gridCol w:w="1329"/>
        <w:gridCol w:w="606"/>
        <w:gridCol w:w="1152"/>
        <w:gridCol w:w="1152"/>
        <w:gridCol w:w="1003"/>
        <w:gridCol w:w="928"/>
      </w:tblGrid>
      <w:tr w:rsidR="00204DF9" w:rsidRPr="00847A38" w14:paraId="3E93B6CA" w14:textId="77777777" w:rsidTr="00160417">
        <w:tc>
          <w:tcPr>
            <w:tcW w:w="443" w:type="pct"/>
            <w:vMerge w:val="restart"/>
            <w:shd w:val="clear" w:color="auto" w:fill="8DB3E2" w:themeFill="text2" w:themeFillTint="66"/>
          </w:tcPr>
          <w:p w14:paraId="379474F7" w14:textId="587F0EAD" w:rsidR="00204DF9" w:rsidRPr="00847A38" w:rsidRDefault="00204DF9">
            <w:pPr>
              <w:pStyle w:val="Normalweb"/>
              <w:rPr>
                <w:lang w:val="en-US"/>
              </w:rPr>
            </w:pPr>
            <w:r w:rsidRPr="00847A38">
              <w:rPr>
                <w:lang w:val="en-US"/>
              </w:rPr>
              <w:t>Author:</w:t>
            </w:r>
          </w:p>
        </w:tc>
        <w:tc>
          <w:tcPr>
            <w:tcW w:w="657" w:type="pct"/>
            <w:vMerge w:val="restart"/>
            <w:shd w:val="clear" w:color="auto" w:fill="8DB3E2" w:themeFill="text2" w:themeFillTint="66"/>
          </w:tcPr>
          <w:p w14:paraId="5557F594" w14:textId="1D62F112" w:rsidR="00204DF9" w:rsidRPr="00847A38" w:rsidRDefault="00204DF9">
            <w:pPr>
              <w:pStyle w:val="Normalweb"/>
              <w:rPr>
                <w:lang w:val="en-US"/>
              </w:rPr>
            </w:pPr>
            <w:r w:rsidRPr="00847A38">
              <w:rPr>
                <w:lang w:val="en-US"/>
              </w:rPr>
              <w:t>Study group:</w:t>
            </w:r>
          </w:p>
        </w:tc>
        <w:tc>
          <w:tcPr>
            <w:tcW w:w="410" w:type="pct"/>
            <w:vMerge w:val="restart"/>
            <w:shd w:val="clear" w:color="auto" w:fill="8DB3E2" w:themeFill="text2" w:themeFillTint="66"/>
          </w:tcPr>
          <w:p w14:paraId="3023955E" w14:textId="47320580" w:rsidR="00204DF9" w:rsidRPr="00847A38" w:rsidRDefault="00204DF9" w:rsidP="00197200">
            <w:pPr>
              <w:pStyle w:val="Normalweb"/>
              <w:rPr>
                <w:lang w:val="en-US"/>
              </w:rPr>
            </w:pPr>
            <w:r w:rsidRPr="00847A38">
              <w:rPr>
                <w:lang w:val="en-US"/>
              </w:rPr>
              <w:t>One option for indication:</w:t>
            </w:r>
          </w:p>
        </w:tc>
        <w:tc>
          <w:tcPr>
            <w:tcW w:w="1971" w:type="pct"/>
            <w:gridSpan w:val="5"/>
            <w:shd w:val="clear" w:color="auto" w:fill="8DB3E2" w:themeFill="text2" w:themeFillTint="66"/>
          </w:tcPr>
          <w:p w14:paraId="329262FA" w14:textId="7BDD443F" w:rsidR="00204DF9" w:rsidRPr="00847A38" w:rsidRDefault="00204DF9">
            <w:pPr>
              <w:pStyle w:val="Normalweb"/>
              <w:rPr>
                <w:lang w:val="en-US"/>
              </w:rPr>
            </w:pPr>
            <w:r w:rsidRPr="00847A38">
              <w:rPr>
                <w:lang w:val="en-US"/>
              </w:rPr>
              <w:t>Functional:</w:t>
            </w:r>
          </w:p>
        </w:tc>
        <w:tc>
          <w:tcPr>
            <w:tcW w:w="1208" w:type="pct"/>
            <w:gridSpan w:val="3"/>
            <w:shd w:val="clear" w:color="auto" w:fill="8DB3E2" w:themeFill="text2" w:themeFillTint="66"/>
          </w:tcPr>
          <w:p w14:paraId="3C88B9DB" w14:textId="131548B1" w:rsidR="00204DF9" w:rsidRPr="00847A38" w:rsidRDefault="00204DF9">
            <w:pPr>
              <w:pStyle w:val="Normalweb"/>
              <w:rPr>
                <w:lang w:val="en-US"/>
              </w:rPr>
            </w:pPr>
            <w:r w:rsidRPr="00847A38">
              <w:rPr>
                <w:lang w:val="en-US"/>
              </w:rPr>
              <w:t>Appearance:</w:t>
            </w:r>
          </w:p>
        </w:tc>
        <w:tc>
          <w:tcPr>
            <w:tcW w:w="312" w:type="pct"/>
            <w:shd w:val="clear" w:color="auto" w:fill="8DB3E2" w:themeFill="text2" w:themeFillTint="66"/>
          </w:tcPr>
          <w:p w14:paraId="644ED023" w14:textId="5DECE103" w:rsidR="00204DF9" w:rsidRPr="00847A38" w:rsidRDefault="00204DF9">
            <w:pPr>
              <w:pStyle w:val="Normalweb"/>
              <w:rPr>
                <w:lang w:val="en-US"/>
              </w:rPr>
            </w:pPr>
            <w:r w:rsidRPr="00847A38">
              <w:rPr>
                <w:lang w:val="en-US"/>
              </w:rPr>
              <w:t>OSAHS:</w:t>
            </w:r>
          </w:p>
        </w:tc>
      </w:tr>
      <w:tr w:rsidR="00160417" w:rsidRPr="00847A38" w14:paraId="42BC7385" w14:textId="77777777" w:rsidTr="00160417">
        <w:tc>
          <w:tcPr>
            <w:tcW w:w="443" w:type="pct"/>
            <w:vMerge/>
            <w:shd w:val="clear" w:color="auto" w:fill="8DB3E2" w:themeFill="text2" w:themeFillTint="66"/>
          </w:tcPr>
          <w:p w14:paraId="43D848B0" w14:textId="77777777" w:rsidR="00204DF9" w:rsidRPr="00847A38" w:rsidRDefault="00204DF9">
            <w:pPr>
              <w:pStyle w:val="Normalweb"/>
              <w:rPr>
                <w:lang w:val="en-US"/>
              </w:rPr>
            </w:pPr>
          </w:p>
        </w:tc>
        <w:tc>
          <w:tcPr>
            <w:tcW w:w="657" w:type="pct"/>
            <w:vMerge/>
            <w:shd w:val="clear" w:color="auto" w:fill="8DB3E2" w:themeFill="text2" w:themeFillTint="66"/>
          </w:tcPr>
          <w:p w14:paraId="5B695197" w14:textId="77777777" w:rsidR="00204DF9" w:rsidRPr="00847A38" w:rsidRDefault="00204DF9">
            <w:pPr>
              <w:pStyle w:val="Normalweb"/>
              <w:rPr>
                <w:lang w:val="en-US"/>
              </w:rPr>
            </w:pPr>
          </w:p>
        </w:tc>
        <w:tc>
          <w:tcPr>
            <w:tcW w:w="410" w:type="pct"/>
            <w:vMerge/>
            <w:shd w:val="clear" w:color="auto" w:fill="8DB3E2" w:themeFill="text2" w:themeFillTint="66"/>
          </w:tcPr>
          <w:p w14:paraId="2BB4D622" w14:textId="77777777" w:rsidR="00204DF9" w:rsidRPr="00847A38" w:rsidRDefault="00204DF9">
            <w:pPr>
              <w:pStyle w:val="Normalweb"/>
              <w:rPr>
                <w:lang w:val="en-US"/>
              </w:rPr>
            </w:pPr>
          </w:p>
        </w:tc>
        <w:tc>
          <w:tcPr>
            <w:tcW w:w="421" w:type="pct"/>
            <w:shd w:val="clear" w:color="auto" w:fill="8DB3E2" w:themeFill="text2" w:themeFillTint="66"/>
          </w:tcPr>
          <w:p w14:paraId="726BFCE5" w14:textId="2660FA99" w:rsidR="00204DF9" w:rsidRPr="00847A38" w:rsidRDefault="00204DF9">
            <w:pPr>
              <w:pStyle w:val="Normalweb"/>
              <w:rPr>
                <w:lang w:val="en-US"/>
              </w:rPr>
            </w:pPr>
            <w:r w:rsidRPr="00847A38">
              <w:rPr>
                <w:lang w:val="en-US"/>
              </w:rPr>
              <w:t>Chewing and biting</w:t>
            </w:r>
          </w:p>
        </w:tc>
        <w:tc>
          <w:tcPr>
            <w:tcW w:w="421" w:type="pct"/>
            <w:shd w:val="clear" w:color="auto" w:fill="8DB3E2" w:themeFill="text2" w:themeFillTint="66"/>
          </w:tcPr>
          <w:p w14:paraId="7E9A9813" w14:textId="717A88C9" w:rsidR="00204DF9" w:rsidRPr="00847A38" w:rsidRDefault="00204DF9">
            <w:pPr>
              <w:pStyle w:val="Normalweb"/>
              <w:rPr>
                <w:lang w:val="en-US"/>
              </w:rPr>
            </w:pPr>
            <w:r w:rsidRPr="00847A38">
              <w:rPr>
                <w:lang w:val="en-US"/>
              </w:rPr>
              <w:t>Speech</w:t>
            </w:r>
          </w:p>
        </w:tc>
        <w:tc>
          <w:tcPr>
            <w:tcW w:w="421" w:type="pct"/>
            <w:shd w:val="clear" w:color="auto" w:fill="8DB3E2" w:themeFill="text2" w:themeFillTint="66"/>
          </w:tcPr>
          <w:p w14:paraId="1BC06B88" w14:textId="638EB7F6" w:rsidR="00204DF9" w:rsidRPr="00847A38" w:rsidRDefault="00204DF9">
            <w:pPr>
              <w:pStyle w:val="Normalweb"/>
              <w:rPr>
                <w:lang w:val="en-US"/>
              </w:rPr>
            </w:pPr>
            <w:r w:rsidRPr="00847A38">
              <w:rPr>
                <w:lang w:val="en-US"/>
              </w:rPr>
              <w:t>Degu</w:t>
            </w:r>
            <w:r w:rsidR="00E83B9A">
              <w:rPr>
                <w:lang w:val="en-US"/>
              </w:rPr>
              <w:t>s</w:t>
            </w:r>
            <w:r w:rsidRPr="00847A38">
              <w:rPr>
                <w:lang w:val="en-US"/>
              </w:rPr>
              <w:t>tation</w:t>
            </w:r>
          </w:p>
        </w:tc>
        <w:tc>
          <w:tcPr>
            <w:tcW w:w="485" w:type="pct"/>
            <w:shd w:val="clear" w:color="auto" w:fill="8DB3E2" w:themeFill="text2" w:themeFillTint="66"/>
          </w:tcPr>
          <w:p w14:paraId="11928E20" w14:textId="13703262" w:rsidR="00204DF9" w:rsidRPr="00847A38" w:rsidRDefault="00204DF9">
            <w:pPr>
              <w:pStyle w:val="Normalweb"/>
              <w:rPr>
                <w:lang w:val="en-US"/>
              </w:rPr>
            </w:pPr>
            <w:r w:rsidRPr="00847A38">
              <w:rPr>
                <w:lang w:val="en-US"/>
              </w:rPr>
              <w:t>Malocclusion</w:t>
            </w:r>
          </w:p>
        </w:tc>
        <w:tc>
          <w:tcPr>
            <w:tcW w:w="223" w:type="pct"/>
            <w:shd w:val="clear" w:color="auto" w:fill="8DB3E2" w:themeFill="text2" w:themeFillTint="66"/>
          </w:tcPr>
          <w:p w14:paraId="57D2DB5F" w14:textId="1E47DC8D" w:rsidR="00204DF9" w:rsidRPr="00847A38" w:rsidRDefault="00204DF9">
            <w:pPr>
              <w:pStyle w:val="Normalweb"/>
              <w:rPr>
                <w:lang w:val="en-US"/>
              </w:rPr>
            </w:pPr>
            <w:r w:rsidRPr="00847A38">
              <w:rPr>
                <w:lang w:val="en-US"/>
              </w:rPr>
              <w:t>Pain</w:t>
            </w:r>
          </w:p>
        </w:tc>
        <w:tc>
          <w:tcPr>
            <w:tcW w:w="421" w:type="pct"/>
            <w:shd w:val="clear" w:color="auto" w:fill="8DB3E2" w:themeFill="text2" w:themeFillTint="66"/>
          </w:tcPr>
          <w:p w14:paraId="33D1E4BD" w14:textId="34EBDEE6" w:rsidR="00204DF9" w:rsidRPr="00847A38" w:rsidRDefault="00204DF9">
            <w:pPr>
              <w:pStyle w:val="Normalweb"/>
              <w:rPr>
                <w:lang w:val="en-US"/>
              </w:rPr>
            </w:pPr>
            <w:r w:rsidRPr="00847A38">
              <w:rPr>
                <w:lang w:val="en-US"/>
              </w:rPr>
              <w:t>Dental</w:t>
            </w:r>
          </w:p>
        </w:tc>
        <w:tc>
          <w:tcPr>
            <w:tcW w:w="421" w:type="pct"/>
            <w:shd w:val="clear" w:color="auto" w:fill="8DB3E2" w:themeFill="text2" w:themeFillTint="66"/>
          </w:tcPr>
          <w:p w14:paraId="1640F0C4" w14:textId="7E07FFAD" w:rsidR="00204DF9" w:rsidRPr="00847A38" w:rsidRDefault="00204DF9">
            <w:pPr>
              <w:pStyle w:val="Normalweb"/>
              <w:rPr>
                <w:lang w:val="en-US"/>
              </w:rPr>
            </w:pPr>
            <w:r w:rsidRPr="00847A38">
              <w:rPr>
                <w:lang w:val="en-US"/>
              </w:rPr>
              <w:t>Facial</w:t>
            </w:r>
          </w:p>
        </w:tc>
        <w:tc>
          <w:tcPr>
            <w:tcW w:w="367" w:type="pct"/>
            <w:shd w:val="clear" w:color="auto" w:fill="8DB3E2" w:themeFill="text2" w:themeFillTint="66"/>
          </w:tcPr>
          <w:p w14:paraId="54615B54" w14:textId="7B6CDA64" w:rsidR="00204DF9" w:rsidRPr="00847A38" w:rsidRDefault="00204DF9">
            <w:pPr>
              <w:pStyle w:val="Normalweb"/>
              <w:rPr>
                <w:lang w:val="en-US"/>
              </w:rPr>
            </w:pPr>
            <w:r w:rsidRPr="00847A38">
              <w:rPr>
                <w:lang w:val="en-US"/>
              </w:rPr>
              <w:t>Aesthetic</w:t>
            </w:r>
          </w:p>
        </w:tc>
        <w:tc>
          <w:tcPr>
            <w:tcW w:w="312" w:type="pct"/>
            <w:shd w:val="clear" w:color="auto" w:fill="8DB3E2" w:themeFill="text2" w:themeFillTint="66"/>
          </w:tcPr>
          <w:p w14:paraId="35F99456" w14:textId="77777777" w:rsidR="00204DF9" w:rsidRPr="00847A38" w:rsidRDefault="00204DF9">
            <w:pPr>
              <w:pStyle w:val="Normalweb"/>
              <w:rPr>
                <w:lang w:val="en-US"/>
              </w:rPr>
            </w:pPr>
          </w:p>
        </w:tc>
      </w:tr>
      <w:tr w:rsidR="00160417" w:rsidRPr="00847A38" w14:paraId="2BBE915F" w14:textId="77777777" w:rsidTr="00160417">
        <w:tc>
          <w:tcPr>
            <w:tcW w:w="443" w:type="pct"/>
          </w:tcPr>
          <w:p w14:paraId="52A88BB5" w14:textId="7493458E" w:rsidR="00204DF9" w:rsidRPr="00847A38" w:rsidRDefault="00204DF9">
            <w:pPr>
              <w:pStyle w:val="Normalweb"/>
              <w:rPr>
                <w:lang w:val="en-US"/>
              </w:rPr>
            </w:pPr>
            <w:r w:rsidRPr="00847A38">
              <w:rPr>
                <w:lang w:val="en-US"/>
              </w:rPr>
              <w:t>Espeland et al.</w:t>
            </w:r>
          </w:p>
        </w:tc>
        <w:tc>
          <w:tcPr>
            <w:tcW w:w="657" w:type="pct"/>
          </w:tcPr>
          <w:p w14:paraId="27048927" w14:textId="479EA771" w:rsidR="00204DF9" w:rsidRPr="00847A38" w:rsidRDefault="00204DF9">
            <w:pPr>
              <w:pStyle w:val="Normalweb"/>
              <w:rPr>
                <w:lang w:val="en-US"/>
              </w:rPr>
            </w:pPr>
            <w:r w:rsidRPr="00847A38">
              <w:rPr>
                <w:lang w:val="en-US"/>
              </w:rPr>
              <w:t>516 (281W/235M)</w:t>
            </w:r>
          </w:p>
        </w:tc>
        <w:tc>
          <w:tcPr>
            <w:tcW w:w="410" w:type="pct"/>
          </w:tcPr>
          <w:p w14:paraId="13A525D6" w14:textId="77777777" w:rsidR="00204DF9" w:rsidRPr="00847A38" w:rsidRDefault="00204DF9">
            <w:pPr>
              <w:pStyle w:val="Normalweb"/>
              <w:rPr>
                <w:lang w:val="en-US"/>
              </w:rPr>
            </w:pPr>
          </w:p>
        </w:tc>
        <w:tc>
          <w:tcPr>
            <w:tcW w:w="421" w:type="pct"/>
          </w:tcPr>
          <w:p w14:paraId="740E744F" w14:textId="3556D8C8" w:rsidR="00204DF9" w:rsidRPr="00847A38" w:rsidRDefault="00204DF9">
            <w:pPr>
              <w:pStyle w:val="Normalweb"/>
              <w:rPr>
                <w:lang w:val="en-US"/>
              </w:rPr>
            </w:pPr>
            <w:r w:rsidRPr="00847A38">
              <w:rPr>
                <w:lang w:val="en-US"/>
              </w:rPr>
              <w:t>80% (important and very important)</w:t>
            </w:r>
          </w:p>
        </w:tc>
        <w:tc>
          <w:tcPr>
            <w:tcW w:w="421" w:type="pct"/>
          </w:tcPr>
          <w:p w14:paraId="3D821509" w14:textId="77777777" w:rsidR="00204DF9" w:rsidRPr="00847A38" w:rsidRDefault="00204DF9">
            <w:pPr>
              <w:pStyle w:val="Normalweb"/>
              <w:rPr>
                <w:lang w:val="en-US"/>
              </w:rPr>
            </w:pPr>
          </w:p>
        </w:tc>
        <w:tc>
          <w:tcPr>
            <w:tcW w:w="421" w:type="pct"/>
          </w:tcPr>
          <w:p w14:paraId="0C779FB3" w14:textId="77777777" w:rsidR="00204DF9" w:rsidRPr="00847A38" w:rsidRDefault="00204DF9">
            <w:pPr>
              <w:pStyle w:val="Normalweb"/>
              <w:rPr>
                <w:lang w:val="en-US"/>
              </w:rPr>
            </w:pPr>
          </w:p>
        </w:tc>
        <w:tc>
          <w:tcPr>
            <w:tcW w:w="485" w:type="pct"/>
          </w:tcPr>
          <w:p w14:paraId="7D5233E7" w14:textId="77777777" w:rsidR="00204DF9" w:rsidRPr="00847A38" w:rsidRDefault="00204DF9">
            <w:pPr>
              <w:pStyle w:val="Normalweb"/>
              <w:rPr>
                <w:lang w:val="en-US"/>
              </w:rPr>
            </w:pPr>
          </w:p>
        </w:tc>
        <w:tc>
          <w:tcPr>
            <w:tcW w:w="223" w:type="pct"/>
          </w:tcPr>
          <w:p w14:paraId="7D9AA910" w14:textId="77777777" w:rsidR="00204DF9" w:rsidRPr="00847A38" w:rsidRDefault="00204DF9">
            <w:pPr>
              <w:pStyle w:val="Normalweb"/>
              <w:rPr>
                <w:lang w:val="en-US"/>
              </w:rPr>
            </w:pPr>
          </w:p>
        </w:tc>
        <w:tc>
          <w:tcPr>
            <w:tcW w:w="421" w:type="pct"/>
          </w:tcPr>
          <w:p w14:paraId="6990DE0D" w14:textId="4F369FBB" w:rsidR="00204DF9" w:rsidRPr="00847A38" w:rsidRDefault="00204DF9">
            <w:pPr>
              <w:pStyle w:val="Normalweb"/>
              <w:rPr>
                <w:lang w:val="en-US"/>
              </w:rPr>
            </w:pPr>
            <w:r w:rsidRPr="00847A38">
              <w:rPr>
                <w:lang w:val="en-US"/>
              </w:rPr>
              <w:t>80% (important and very important)</w:t>
            </w:r>
          </w:p>
        </w:tc>
        <w:tc>
          <w:tcPr>
            <w:tcW w:w="421" w:type="pct"/>
          </w:tcPr>
          <w:p w14:paraId="75A39387" w14:textId="19ED07F4" w:rsidR="00204DF9" w:rsidRPr="00847A38" w:rsidRDefault="00204DF9">
            <w:pPr>
              <w:pStyle w:val="Normalweb"/>
              <w:rPr>
                <w:lang w:val="en-US"/>
              </w:rPr>
            </w:pPr>
            <w:r w:rsidRPr="00847A38">
              <w:rPr>
                <w:lang w:val="en-US"/>
              </w:rPr>
              <w:t>70% (important and very important)</w:t>
            </w:r>
          </w:p>
        </w:tc>
        <w:tc>
          <w:tcPr>
            <w:tcW w:w="367" w:type="pct"/>
          </w:tcPr>
          <w:p w14:paraId="1F5F9715" w14:textId="77777777" w:rsidR="00204DF9" w:rsidRPr="00847A38" w:rsidRDefault="00204DF9">
            <w:pPr>
              <w:pStyle w:val="Normalweb"/>
              <w:rPr>
                <w:lang w:val="en-US"/>
              </w:rPr>
            </w:pPr>
          </w:p>
        </w:tc>
        <w:tc>
          <w:tcPr>
            <w:tcW w:w="312" w:type="pct"/>
          </w:tcPr>
          <w:p w14:paraId="3133CFFB" w14:textId="77777777" w:rsidR="00204DF9" w:rsidRPr="00847A38" w:rsidRDefault="00204DF9">
            <w:pPr>
              <w:pStyle w:val="Normalweb"/>
              <w:rPr>
                <w:lang w:val="en-US"/>
              </w:rPr>
            </w:pPr>
          </w:p>
        </w:tc>
      </w:tr>
      <w:tr w:rsidR="00160417" w:rsidRPr="00847A38" w14:paraId="571B6EB6" w14:textId="77777777" w:rsidTr="00160417">
        <w:tc>
          <w:tcPr>
            <w:tcW w:w="443" w:type="pct"/>
          </w:tcPr>
          <w:p w14:paraId="48DBC466" w14:textId="50E04AB3" w:rsidR="00204DF9" w:rsidRPr="00847A38" w:rsidRDefault="00204DF9">
            <w:pPr>
              <w:pStyle w:val="Normalweb"/>
              <w:rPr>
                <w:lang w:val="en-US"/>
              </w:rPr>
            </w:pPr>
            <w:r w:rsidRPr="00847A38">
              <w:rPr>
                <w:lang w:val="en-US"/>
              </w:rPr>
              <w:t>Øland et al.</w:t>
            </w:r>
          </w:p>
        </w:tc>
        <w:tc>
          <w:tcPr>
            <w:tcW w:w="657" w:type="pct"/>
          </w:tcPr>
          <w:p w14:paraId="320A638F" w14:textId="2C8A81E7" w:rsidR="00204DF9" w:rsidRPr="00847A38" w:rsidRDefault="00204DF9">
            <w:pPr>
              <w:pStyle w:val="Normalweb"/>
              <w:rPr>
                <w:lang w:val="en-US"/>
              </w:rPr>
            </w:pPr>
            <w:r w:rsidRPr="00847A38">
              <w:rPr>
                <w:lang w:val="en-US"/>
              </w:rPr>
              <w:t>92 (57W/35M)</w:t>
            </w:r>
          </w:p>
        </w:tc>
        <w:tc>
          <w:tcPr>
            <w:tcW w:w="410" w:type="pct"/>
          </w:tcPr>
          <w:p w14:paraId="129D7F03" w14:textId="00577529" w:rsidR="00204DF9" w:rsidRPr="00847A38" w:rsidRDefault="00204DF9">
            <w:pPr>
              <w:pStyle w:val="Normalweb"/>
              <w:rPr>
                <w:lang w:val="en-US"/>
              </w:rPr>
            </w:pPr>
          </w:p>
        </w:tc>
        <w:tc>
          <w:tcPr>
            <w:tcW w:w="421" w:type="pct"/>
          </w:tcPr>
          <w:p w14:paraId="539A2B02" w14:textId="41A92FD9" w:rsidR="00204DF9" w:rsidRPr="00847A38" w:rsidRDefault="00204DF9">
            <w:pPr>
              <w:pStyle w:val="Normalweb"/>
              <w:rPr>
                <w:lang w:val="en-US"/>
              </w:rPr>
            </w:pPr>
          </w:p>
        </w:tc>
        <w:tc>
          <w:tcPr>
            <w:tcW w:w="421" w:type="pct"/>
          </w:tcPr>
          <w:p w14:paraId="070DCEC6" w14:textId="77777777" w:rsidR="00204DF9" w:rsidRPr="00847A38" w:rsidRDefault="00204DF9">
            <w:pPr>
              <w:pStyle w:val="Normalweb"/>
              <w:rPr>
                <w:lang w:val="en-US"/>
              </w:rPr>
            </w:pPr>
          </w:p>
        </w:tc>
        <w:tc>
          <w:tcPr>
            <w:tcW w:w="421" w:type="pct"/>
          </w:tcPr>
          <w:p w14:paraId="13FBF107" w14:textId="77777777" w:rsidR="00204DF9" w:rsidRPr="00847A38" w:rsidRDefault="00204DF9">
            <w:pPr>
              <w:pStyle w:val="Normalweb"/>
              <w:rPr>
                <w:lang w:val="en-US"/>
              </w:rPr>
            </w:pPr>
          </w:p>
        </w:tc>
        <w:tc>
          <w:tcPr>
            <w:tcW w:w="485" w:type="pct"/>
          </w:tcPr>
          <w:p w14:paraId="2E7EADF5" w14:textId="77777777" w:rsidR="00204DF9" w:rsidRPr="00847A38" w:rsidRDefault="00204DF9">
            <w:pPr>
              <w:pStyle w:val="Normalweb"/>
              <w:rPr>
                <w:lang w:val="en-US"/>
              </w:rPr>
            </w:pPr>
          </w:p>
        </w:tc>
        <w:tc>
          <w:tcPr>
            <w:tcW w:w="223" w:type="pct"/>
          </w:tcPr>
          <w:p w14:paraId="1D3F474E" w14:textId="77777777" w:rsidR="00204DF9" w:rsidRPr="00847A38" w:rsidRDefault="00204DF9">
            <w:pPr>
              <w:pStyle w:val="Normalweb"/>
              <w:rPr>
                <w:lang w:val="en-US"/>
              </w:rPr>
            </w:pPr>
          </w:p>
        </w:tc>
        <w:tc>
          <w:tcPr>
            <w:tcW w:w="421" w:type="pct"/>
          </w:tcPr>
          <w:p w14:paraId="5C70BF32" w14:textId="3154CCBD" w:rsidR="00204DF9" w:rsidRPr="00847A38" w:rsidRDefault="00204DF9">
            <w:pPr>
              <w:pStyle w:val="Normalweb"/>
              <w:rPr>
                <w:lang w:val="en-US"/>
              </w:rPr>
            </w:pPr>
          </w:p>
        </w:tc>
        <w:tc>
          <w:tcPr>
            <w:tcW w:w="421" w:type="pct"/>
          </w:tcPr>
          <w:p w14:paraId="6C63C857" w14:textId="77777777" w:rsidR="00204DF9" w:rsidRPr="00847A38" w:rsidRDefault="00204DF9">
            <w:pPr>
              <w:pStyle w:val="Normalweb"/>
              <w:rPr>
                <w:lang w:val="en-US"/>
              </w:rPr>
            </w:pPr>
          </w:p>
        </w:tc>
        <w:tc>
          <w:tcPr>
            <w:tcW w:w="367" w:type="pct"/>
          </w:tcPr>
          <w:p w14:paraId="4B099004" w14:textId="77777777" w:rsidR="00204DF9" w:rsidRPr="00847A38" w:rsidRDefault="00204DF9">
            <w:pPr>
              <w:pStyle w:val="Normalweb"/>
              <w:rPr>
                <w:lang w:val="en-US"/>
              </w:rPr>
            </w:pPr>
          </w:p>
        </w:tc>
        <w:tc>
          <w:tcPr>
            <w:tcW w:w="312" w:type="pct"/>
          </w:tcPr>
          <w:p w14:paraId="48E6BE32" w14:textId="77777777" w:rsidR="00204DF9" w:rsidRPr="00847A38" w:rsidRDefault="00204DF9">
            <w:pPr>
              <w:pStyle w:val="Normalweb"/>
              <w:rPr>
                <w:lang w:val="en-US"/>
              </w:rPr>
            </w:pPr>
          </w:p>
        </w:tc>
      </w:tr>
      <w:tr w:rsidR="00160417" w:rsidRPr="00847A38" w14:paraId="22591E88" w14:textId="77777777" w:rsidTr="00160417">
        <w:tc>
          <w:tcPr>
            <w:tcW w:w="443" w:type="pct"/>
          </w:tcPr>
          <w:p w14:paraId="1761B296" w14:textId="4FF519E7" w:rsidR="00204DF9" w:rsidRPr="00847A38" w:rsidRDefault="00204DF9">
            <w:pPr>
              <w:pStyle w:val="Normalweb"/>
              <w:rPr>
                <w:lang w:val="en-US"/>
              </w:rPr>
            </w:pPr>
            <w:r w:rsidRPr="00847A38">
              <w:rPr>
                <w:lang w:val="en-US"/>
              </w:rPr>
              <w:t>Peacock et al.</w:t>
            </w:r>
          </w:p>
        </w:tc>
        <w:tc>
          <w:tcPr>
            <w:tcW w:w="657" w:type="pct"/>
          </w:tcPr>
          <w:p w14:paraId="1A0CD007" w14:textId="08EF8C3C" w:rsidR="00204DF9" w:rsidRPr="00847A38" w:rsidRDefault="00204DF9">
            <w:pPr>
              <w:pStyle w:val="Normalweb"/>
              <w:rPr>
                <w:lang w:val="en-US"/>
              </w:rPr>
            </w:pPr>
            <w:r w:rsidRPr="00847A38">
              <w:rPr>
                <w:lang w:val="en-US"/>
              </w:rPr>
              <w:t>911 (476W/435M)</w:t>
            </w:r>
          </w:p>
        </w:tc>
        <w:tc>
          <w:tcPr>
            <w:tcW w:w="410" w:type="pct"/>
          </w:tcPr>
          <w:p w14:paraId="08A86976" w14:textId="77777777" w:rsidR="00204DF9" w:rsidRPr="00847A38" w:rsidRDefault="00204DF9">
            <w:pPr>
              <w:pStyle w:val="Normalweb"/>
              <w:rPr>
                <w:lang w:val="en-US"/>
              </w:rPr>
            </w:pPr>
          </w:p>
        </w:tc>
        <w:tc>
          <w:tcPr>
            <w:tcW w:w="421" w:type="pct"/>
          </w:tcPr>
          <w:p w14:paraId="78956479" w14:textId="2430D84F" w:rsidR="00204DF9" w:rsidRPr="00847A38" w:rsidRDefault="00204DF9">
            <w:pPr>
              <w:pStyle w:val="Normalweb"/>
              <w:rPr>
                <w:lang w:val="en-US"/>
              </w:rPr>
            </w:pPr>
            <w:r w:rsidRPr="00847A38">
              <w:rPr>
                <w:lang w:val="en-US"/>
              </w:rPr>
              <w:t>67%</w:t>
            </w:r>
          </w:p>
        </w:tc>
        <w:tc>
          <w:tcPr>
            <w:tcW w:w="421" w:type="pct"/>
          </w:tcPr>
          <w:p w14:paraId="163C5E2F" w14:textId="77777777" w:rsidR="00204DF9" w:rsidRPr="00847A38" w:rsidRDefault="00204DF9">
            <w:pPr>
              <w:pStyle w:val="Normalweb"/>
              <w:rPr>
                <w:lang w:val="en-US"/>
              </w:rPr>
            </w:pPr>
          </w:p>
        </w:tc>
        <w:tc>
          <w:tcPr>
            <w:tcW w:w="421" w:type="pct"/>
          </w:tcPr>
          <w:p w14:paraId="24F5FE07" w14:textId="77777777" w:rsidR="00204DF9" w:rsidRPr="00847A38" w:rsidRDefault="00204DF9">
            <w:pPr>
              <w:pStyle w:val="Normalweb"/>
              <w:rPr>
                <w:lang w:val="en-US"/>
              </w:rPr>
            </w:pPr>
          </w:p>
        </w:tc>
        <w:tc>
          <w:tcPr>
            <w:tcW w:w="485" w:type="pct"/>
          </w:tcPr>
          <w:p w14:paraId="0C1F1AED" w14:textId="77777777" w:rsidR="00204DF9" w:rsidRPr="00847A38" w:rsidRDefault="00204DF9">
            <w:pPr>
              <w:pStyle w:val="Normalweb"/>
              <w:rPr>
                <w:lang w:val="en-US"/>
              </w:rPr>
            </w:pPr>
          </w:p>
        </w:tc>
        <w:tc>
          <w:tcPr>
            <w:tcW w:w="223" w:type="pct"/>
          </w:tcPr>
          <w:p w14:paraId="38245B20" w14:textId="77777777" w:rsidR="00204DF9" w:rsidRPr="00847A38" w:rsidRDefault="00204DF9">
            <w:pPr>
              <w:pStyle w:val="Normalweb"/>
              <w:rPr>
                <w:lang w:val="en-US"/>
              </w:rPr>
            </w:pPr>
          </w:p>
        </w:tc>
        <w:tc>
          <w:tcPr>
            <w:tcW w:w="421" w:type="pct"/>
          </w:tcPr>
          <w:p w14:paraId="2058BB69" w14:textId="1F9F2A3E" w:rsidR="00204DF9" w:rsidRPr="00847A38" w:rsidRDefault="00204DF9">
            <w:pPr>
              <w:pStyle w:val="Normalweb"/>
              <w:rPr>
                <w:lang w:val="en-US"/>
              </w:rPr>
            </w:pPr>
          </w:p>
        </w:tc>
        <w:tc>
          <w:tcPr>
            <w:tcW w:w="421" w:type="pct"/>
          </w:tcPr>
          <w:p w14:paraId="071A5F4C" w14:textId="77777777" w:rsidR="00204DF9" w:rsidRPr="00847A38" w:rsidRDefault="00204DF9">
            <w:pPr>
              <w:pStyle w:val="Normalweb"/>
              <w:rPr>
                <w:lang w:val="en-US"/>
              </w:rPr>
            </w:pPr>
          </w:p>
        </w:tc>
        <w:tc>
          <w:tcPr>
            <w:tcW w:w="367" w:type="pct"/>
          </w:tcPr>
          <w:p w14:paraId="19C6AA46" w14:textId="00E7137D" w:rsidR="00204DF9" w:rsidRPr="00847A38" w:rsidRDefault="00204DF9">
            <w:pPr>
              <w:pStyle w:val="Normalweb"/>
              <w:rPr>
                <w:lang w:val="en-US"/>
              </w:rPr>
            </w:pPr>
            <w:r w:rsidRPr="00847A38">
              <w:rPr>
                <w:lang w:val="en-US"/>
              </w:rPr>
              <w:t>33%</w:t>
            </w:r>
          </w:p>
        </w:tc>
        <w:tc>
          <w:tcPr>
            <w:tcW w:w="312" w:type="pct"/>
          </w:tcPr>
          <w:p w14:paraId="757EF3BA" w14:textId="77777777" w:rsidR="00204DF9" w:rsidRPr="00847A38" w:rsidRDefault="00204DF9">
            <w:pPr>
              <w:pStyle w:val="Normalweb"/>
              <w:rPr>
                <w:lang w:val="en-US"/>
              </w:rPr>
            </w:pPr>
          </w:p>
        </w:tc>
      </w:tr>
      <w:tr w:rsidR="00160417" w:rsidRPr="00847A38" w14:paraId="1D76D3BD" w14:textId="77777777" w:rsidTr="00160417">
        <w:tc>
          <w:tcPr>
            <w:tcW w:w="443" w:type="pct"/>
          </w:tcPr>
          <w:p w14:paraId="04B38D4D" w14:textId="72A5BF7E" w:rsidR="00204DF9" w:rsidRPr="00847A38" w:rsidRDefault="00204DF9">
            <w:pPr>
              <w:pStyle w:val="Normalweb"/>
              <w:rPr>
                <w:lang w:val="en-US"/>
              </w:rPr>
            </w:pPr>
            <w:r w:rsidRPr="00847A38">
              <w:rPr>
                <w:lang w:val="en-US"/>
              </w:rPr>
              <w:t>Hernandez-Alfari et al</w:t>
            </w:r>
          </w:p>
        </w:tc>
        <w:tc>
          <w:tcPr>
            <w:tcW w:w="657" w:type="pct"/>
          </w:tcPr>
          <w:p w14:paraId="77407ADE" w14:textId="79870C97" w:rsidR="00204DF9" w:rsidRPr="00847A38" w:rsidRDefault="00204DF9">
            <w:pPr>
              <w:pStyle w:val="Normalweb"/>
              <w:rPr>
                <w:lang w:val="en-US"/>
              </w:rPr>
            </w:pPr>
            <w:r w:rsidRPr="00847A38">
              <w:rPr>
                <w:lang w:val="en-US"/>
              </w:rPr>
              <w:t>362(212W/150M)</w:t>
            </w:r>
          </w:p>
        </w:tc>
        <w:tc>
          <w:tcPr>
            <w:tcW w:w="410" w:type="pct"/>
          </w:tcPr>
          <w:p w14:paraId="72F00FCC" w14:textId="77777777" w:rsidR="00204DF9" w:rsidRPr="00847A38" w:rsidRDefault="00204DF9">
            <w:pPr>
              <w:pStyle w:val="Normalweb"/>
              <w:rPr>
                <w:lang w:val="en-US"/>
              </w:rPr>
            </w:pPr>
          </w:p>
        </w:tc>
        <w:tc>
          <w:tcPr>
            <w:tcW w:w="421" w:type="pct"/>
          </w:tcPr>
          <w:p w14:paraId="7FB683D1" w14:textId="3AEE913B" w:rsidR="00204DF9" w:rsidRPr="00847A38" w:rsidRDefault="00204DF9">
            <w:pPr>
              <w:pStyle w:val="Normalweb"/>
              <w:rPr>
                <w:lang w:val="en-US"/>
              </w:rPr>
            </w:pPr>
            <w:r w:rsidRPr="00847A38">
              <w:rPr>
                <w:lang w:val="en-US"/>
              </w:rPr>
              <w:t>41%</w:t>
            </w:r>
          </w:p>
        </w:tc>
        <w:tc>
          <w:tcPr>
            <w:tcW w:w="421" w:type="pct"/>
          </w:tcPr>
          <w:p w14:paraId="17EBDBCB" w14:textId="77777777" w:rsidR="00204DF9" w:rsidRPr="00847A38" w:rsidRDefault="00204DF9">
            <w:pPr>
              <w:pStyle w:val="Normalweb"/>
              <w:rPr>
                <w:lang w:val="en-US"/>
              </w:rPr>
            </w:pPr>
          </w:p>
        </w:tc>
        <w:tc>
          <w:tcPr>
            <w:tcW w:w="421" w:type="pct"/>
          </w:tcPr>
          <w:p w14:paraId="4E5BBFC1" w14:textId="77777777" w:rsidR="00204DF9" w:rsidRPr="00847A38" w:rsidRDefault="00204DF9">
            <w:pPr>
              <w:pStyle w:val="Normalweb"/>
              <w:rPr>
                <w:lang w:val="en-US"/>
              </w:rPr>
            </w:pPr>
          </w:p>
        </w:tc>
        <w:tc>
          <w:tcPr>
            <w:tcW w:w="485" w:type="pct"/>
          </w:tcPr>
          <w:p w14:paraId="30D8341E" w14:textId="77777777" w:rsidR="00204DF9" w:rsidRPr="00847A38" w:rsidRDefault="00204DF9">
            <w:pPr>
              <w:pStyle w:val="Normalweb"/>
              <w:rPr>
                <w:lang w:val="en-US"/>
              </w:rPr>
            </w:pPr>
          </w:p>
        </w:tc>
        <w:tc>
          <w:tcPr>
            <w:tcW w:w="223" w:type="pct"/>
          </w:tcPr>
          <w:p w14:paraId="5D1C894B" w14:textId="77777777" w:rsidR="00204DF9" w:rsidRPr="00847A38" w:rsidRDefault="00204DF9">
            <w:pPr>
              <w:pStyle w:val="Normalweb"/>
              <w:rPr>
                <w:lang w:val="en-US"/>
              </w:rPr>
            </w:pPr>
          </w:p>
        </w:tc>
        <w:tc>
          <w:tcPr>
            <w:tcW w:w="421" w:type="pct"/>
          </w:tcPr>
          <w:p w14:paraId="7154370A" w14:textId="65C8A2DB" w:rsidR="00204DF9" w:rsidRPr="00847A38" w:rsidRDefault="00204DF9">
            <w:pPr>
              <w:pStyle w:val="Normalweb"/>
              <w:rPr>
                <w:lang w:val="en-US"/>
              </w:rPr>
            </w:pPr>
          </w:p>
        </w:tc>
        <w:tc>
          <w:tcPr>
            <w:tcW w:w="421" w:type="pct"/>
          </w:tcPr>
          <w:p w14:paraId="46D07A29" w14:textId="77777777" w:rsidR="00204DF9" w:rsidRPr="00847A38" w:rsidRDefault="00204DF9">
            <w:pPr>
              <w:pStyle w:val="Normalweb"/>
              <w:rPr>
                <w:lang w:val="en-US"/>
              </w:rPr>
            </w:pPr>
          </w:p>
        </w:tc>
        <w:tc>
          <w:tcPr>
            <w:tcW w:w="367" w:type="pct"/>
          </w:tcPr>
          <w:p w14:paraId="46EB56BA" w14:textId="6D466A55" w:rsidR="00204DF9" w:rsidRPr="00847A38" w:rsidRDefault="00204DF9">
            <w:pPr>
              <w:pStyle w:val="Normalweb"/>
              <w:rPr>
                <w:lang w:val="en-US"/>
              </w:rPr>
            </w:pPr>
            <w:r w:rsidRPr="00847A38">
              <w:rPr>
                <w:lang w:val="en-US"/>
              </w:rPr>
              <w:t>57%</w:t>
            </w:r>
          </w:p>
        </w:tc>
        <w:tc>
          <w:tcPr>
            <w:tcW w:w="312" w:type="pct"/>
          </w:tcPr>
          <w:p w14:paraId="4D6B039F" w14:textId="416A4048" w:rsidR="00204DF9" w:rsidRPr="00847A38" w:rsidRDefault="00204DF9">
            <w:pPr>
              <w:pStyle w:val="Normalweb"/>
              <w:rPr>
                <w:lang w:val="en-US"/>
              </w:rPr>
            </w:pPr>
            <w:r w:rsidRPr="00847A38">
              <w:rPr>
                <w:lang w:val="en-US"/>
              </w:rPr>
              <w:t>2%</w:t>
            </w:r>
          </w:p>
        </w:tc>
      </w:tr>
      <w:tr w:rsidR="00160417" w:rsidRPr="00847A38" w14:paraId="3CE41295" w14:textId="77777777" w:rsidTr="00160417">
        <w:tc>
          <w:tcPr>
            <w:tcW w:w="443" w:type="pct"/>
          </w:tcPr>
          <w:p w14:paraId="6F21A7E4" w14:textId="103CABA5" w:rsidR="00204DF9" w:rsidRPr="00847A38" w:rsidRDefault="00204DF9">
            <w:pPr>
              <w:pStyle w:val="Normalweb"/>
              <w:rPr>
                <w:lang w:val="en-US"/>
              </w:rPr>
            </w:pPr>
            <w:r w:rsidRPr="00847A38">
              <w:rPr>
                <w:lang w:val="en-US"/>
              </w:rPr>
              <w:t>Hernandez-Alfari et al</w:t>
            </w:r>
          </w:p>
        </w:tc>
        <w:tc>
          <w:tcPr>
            <w:tcW w:w="657" w:type="pct"/>
          </w:tcPr>
          <w:p w14:paraId="7932DB46" w14:textId="4CFB0393" w:rsidR="00204DF9" w:rsidRPr="00847A38" w:rsidRDefault="00204DF9">
            <w:pPr>
              <w:pStyle w:val="Normalweb"/>
              <w:rPr>
                <w:lang w:val="en-US"/>
              </w:rPr>
            </w:pPr>
            <w:r w:rsidRPr="00847A38">
              <w:rPr>
                <w:lang w:val="en-US"/>
              </w:rPr>
              <w:t>45 (27W/18M)</w:t>
            </w:r>
          </w:p>
        </w:tc>
        <w:tc>
          <w:tcPr>
            <w:tcW w:w="410" w:type="pct"/>
          </w:tcPr>
          <w:p w14:paraId="1C587D8A" w14:textId="77777777" w:rsidR="00204DF9" w:rsidRPr="00847A38" w:rsidRDefault="00204DF9">
            <w:pPr>
              <w:pStyle w:val="Normalweb"/>
              <w:rPr>
                <w:lang w:val="en-US"/>
              </w:rPr>
            </w:pPr>
          </w:p>
        </w:tc>
        <w:tc>
          <w:tcPr>
            <w:tcW w:w="421" w:type="pct"/>
          </w:tcPr>
          <w:p w14:paraId="2F12F99A" w14:textId="7E9B0695" w:rsidR="00204DF9" w:rsidRPr="00847A38" w:rsidRDefault="00204DF9">
            <w:pPr>
              <w:pStyle w:val="Normalweb"/>
              <w:rPr>
                <w:lang w:val="en-US"/>
              </w:rPr>
            </w:pPr>
          </w:p>
        </w:tc>
        <w:tc>
          <w:tcPr>
            <w:tcW w:w="421" w:type="pct"/>
          </w:tcPr>
          <w:p w14:paraId="05FE5573" w14:textId="77777777" w:rsidR="00204DF9" w:rsidRPr="00847A38" w:rsidRDefault="00204DF9">
            <w:pPr>
              <w:pStyle w:val="Normalweb"/>
              <w:rPr>
                <w:lang w:val="en-US"/>
              </w:rPr>
            </w:pPr>
          </w:p>
        </w:tc>
        <w:tc>
          <w:tcPr>
            <w:tcW w:w="421" w:type="pct"/>
          </w:tcPr>
          <w:p w14:paraId="0920E1B7" w14:textId="77777777" w:rsidR="00204DF9" w:rsidRPr="00847A38" w:rsidRDefault="00204DF9">
            <w:pPr>
              <w:pStyle w:val="Normalweb"/>
              <w:rPr>
                <w:lang w:val="en-US"/>
              </w:rPr>
            </w:pPr>
          </w:p>
        </w:tc>
        <w:tc>
          <w:tcPr>
            <w:tcW w:w="485" w:type="pct"/>
          </w:tcPr>
          <w:p w14:paraId="4D7FE127" w14:textId="52498C07" w:rsidR="00204DF9" w:rsidRPr="00847A38" w:rsidRDefault="00204DF9">
            <w:pPr>
              <w:pStyle w:val="Normalweb"/>
              <w:rPr>
                <w:lang w:val="en-US"/>
              </w:rPr>
            </w:pPr>
            <w:r w:rsidRPr="00847A38">
              <w:rPr>
                <w:lang w:val="en-US"/>
              </w:rPr>
              <w:t>7%</w:t>
            </w:r>
          </w:p>
        </w:tc>
        <w:tc>
          <w:tcPr>
            <w:tcW w:w="223" w:type="pct"/>
          </w:tcPr>
          <w:p w14:paraId="6B1D1A46" w14:textId="77777777" w:rsidR="00204DF9" w:rsidRPr="00847A38" w:rsidRDefault="00204DF9">
            <w:pPr>
              <w:pStyle w:val="Normalweb"/>
              <w:rPr>
                <w:lang w:val="en-US"/>
              </w:rPr>
            </w:pPr>
          </w:p>
        </w:tc>
        <w:tc>
          <w:tcPr>
            <w:tcW w:w="421" w:type="pct"/>
          </w:tcPr>
          <w:p w14:paraId="3DED6D6F" w14:textId="2ACBE501" w:rsidR="00204DF9" w:rsidRPr="00847A38" w:rsidRDefault="00204DF9">
            <w:pPr>
              <w:pStyle w:val="Normalweb"/>
              <w:rPr>
                <w:lang w:val="en-US"/>
              </w:rPr>
            </w:pPr>
          </w:p>
        </w:tc>
        <w:tc>
          <w:tcPr>
            <w:tcW w:w="421" w:type="pct"/>
          </w:tcPr>
          <w:p w14:paraId="588C141D" w14:textId="77777777" w:rsidR="00204DF9" w:rsidRPr="00847A38" w:rsidRDefault="00204DF9">
            <w:pPr>
              <w:pStyle w:val="Normalweb"/>
              <w:rPr>
                <w:lang w:val="en-US"/>
              </w:rPr>
            </w:pPr>
          </w:p>
        </w:tc>
        <w:tc>
          <w:tcPr>
            <w:tcW w:w="367" w:type="pct"/>
          </w:tcPr>
          <w:p w14:paraId="10EC7FBE" w14:textId="6A8DCBBF" w:rsidR="00204DF9" w:rsidRPr="00847A38" w:rsidRDefault="00204DF9">
            <w:pPr>
              <w:pStyle w:val="Normalweb"/>
              <w:rPr>
                <w:lang w:val="en-US"/>
              </w:rPr>
            </w:pPr>
            <w:r w:rsidRPr="00847A38">
              <w:rPr>
                <w:lang w:val="en-US"/>
              </w:rPr>
              <w:t>82%</w:t>
            </w:r>
          </w:p>
        </w:tc>
        <w:tc>
          <w:tcPr>
            <w:tcW w:w="312" w:type="pct"/>
          </w:tcPr>
          <w:p w14:paraId="5BED6261" w14:textId="0F75F2C1" w:rsidR="00204DF9" w:rsidRPr="00847A38" w:rsidRDefault="00204DF9">
            <w:pPr>
              <w:pStyle w:val="Normalweb"/>
              <w:rPr>
                <w:lang w:val="en-US"/>
              </w:rPr>
            </w:pPr>
            <w:r w:rsidRPr="00847A38">
              <w:rPr>
                <w:lang w:val="en-US"/>
              </w:rPr>
              <w:t>11%</w:t>
            </w:r>
          </w:p>
        </w:tc>
      </w:tr>
      <w:tr w:rsidR="00160417" w:rsidRPr="00847A38" w14:paraId="78135F2B" w14:textId="77777777" w:rsidTr="00160417">
        <w:tc>
          <w:tcPr>
            <w:tcW w:w="443" w:type="pct"/>
          </w:tcPr>
          <w:p w14:paraId="40374BF3" w14:textId="1A36E817" w:rsidR="00204DF9" w:rsidRPr="00847A38" w:rsidRDefault="00204DF9">
            <w:pPr>
              <w:pStyle w:val="Normalweb"/>
              <w:rPr>
                <w:lang w:val="en-US"/>
              </w:rPr>
            </w:pPr>
            <w:r w:rsidRPr="00847A38">
              <w:rPr>
                <w:lang w:val="en-US"/>
              </w:rPr>
              <w:t>Proothi et al.</w:t>
            </w:r>
          </w:p>
        </w:tc>
        <w:tc>
          <w:tcPr>
            <w:tcW w:w="657" w:type="pct"/>
          </w:tcPr>
          <w:p w14:paraId="24699207" w14:textId="54C50F05" w:rsidR="00204DF9" w:rsidRPr="00847A38" w:rsidRDefault="00204DF9">
            <w:pPr>
              <w:pStyle w:val="Normalweb"/>
              <w:rPr>
                <w:lang w:val="en-US"/>
              </w:rPr>
            </w:pPr>
            <w:r w:rsidRPr="00847A38">
              <w:rPr>
                <w:lang w:val="en-US"/>
              </w:rPr>
              <w:t>501 (285W/216M)</w:t>
            </w:r>
          </w:p>
        </w:tc>
        <w:tc>
          <w:tcPr>
            <w:tcW w:w="410" w:type="pct"/>
          </w:tcPr>
          <w:p w14:paraId="445F097B" w14:textId="468D48A6" w:rsidR="00204DF9" w:rsidRPr="00847A38" w:rsidRDefault="00204DF9">
            <w:pPr>
              <w:pStyle w:val="Normalweb"/>
              <w:rPr>
                <w:lang w:val="en-US"/>
              </w:rPr>
            </w:pPr>
            <w:r w:rsidRPr="00847A38">
              <w:rPr>
                <w:lang w:val="en-US"/>
              </w:rPr>
              <w:t>X</w:t>
            </w:r>
          </w:p>
        </w:tc>
        <w:tc>
          <w:tcPr>
            <w:tcW w:w="421" w:type="pct"/>
          </w:tcPr>
          <w:p w14:paraId="0113EDD7" w14:textId="07AF82A3" w:rsidR="00204DF9" w:rsidRPr="00847A38" w:rsidRDefault="00204DF9">
            <w:pPr>
              <w:pStyle w:val="Normalweb"/>
              <w:rPr>
                <w:lang w:val="en-US"/>
              </w:rPr>
            </w:pPr>
            <w:r w:rsidRPr="00847A38">
              <w:rPr>
                <w:lang w:val="en-US"/>
              </w:rPr>
              <w:t>36%</w:t>
            </w:r>
          </w:p>
        </w:tc>
        <w:tc>
          <w:tcPr>
            <w:tcW w:w="421" w:type="pct"/>
          </w:tcPr>
          <w:p w14:paraId="7497F5AB" w14:textId="77777777" w:rsidR="00204DF9" w:rsidRPr="00847A38" w:rsidRDefault="00204DF9">
            <w:pPr>
              <w:pStyle w:val="Normalweb"/>
              <w:rPr>
                <w:lang w:val="en-US"/>
              </w:rPr>
            </w:pPr>
          </w:p>
        </w:tc>
        <w:tc>
          <w:tcPr>
            <w:tcW w:w="421" w:type="pct"/>
          </w:tcPr>
          <w:p w14:paraId="04B8938B" w14:textId="77777777" w:rsidR="00204DF9" w:rsidRPr="00847A38" w:rsidRDefault="00204DF9">
            <w:pPr>
              <w:pStyle w:val="Normalweb"/>
              <w:rPr>
                <w:lang w:val="en-US"/>
              </w:rPr>
            </w:pPr>
          </w:p>
        </w:tc>
        <w:tc>
          <w:tcPr>
            <w:tcW w:w="485" w:type="pct"/>
          </w:tcPr>
          <w:p w14:paraId="3800E23C" w14:textId="77777777" w:rsidR="00204DF9" w:rsidRPr="00847A38" w:rsidRDefault="00204DF9">
            <w:pPr>
              <w:pStyle w:val="Normalweb"/>
              <w:rPr>
                <w:lang w:val="en-US"/>
              </w:rPr>
            </w:pPr>
          </w:p>
        </w:tc>
        <w:tc>
          <w:tcPr>
            <w:tcW w:w="223" w:type="pct"/>
          </w:tcPr>
          <w:p w14:paraId="66B50028" w14:textId="77777777" w:rsidR="00204DF9" w:rsidRPr="00847A38" w:rsidRDefault="00204DF9">
            <w:pPr>
              <w:pStyle w:val="Normalweb"/>
              <w:rPr>
                <w:lang w:val="en-US"/>
              </w:rPr>
            </w:pPr>
          </w:p>
        </w:tc>
        <w:tc>
          <w:tcPr>
            <w:tcW w:w="421" w:type="pct"/>
          </w:tcPr>
          <w:p w14:paraId="14F3EE1E" w14:textId="5685D123" w:rsidR="00204DF9" w:rsidRPr="00847A38" w:rsidRDefault="00204DF9">
            <w:pPr>
              <w:pStyle w:val="Normalweb"/>
              <w:rPr>
                <w:lang w:val="en-US"/>
              </w:rPr>
            </w:pPr>
          </w:p>
        </w:tc>
        <w:tc>
          <w:tcPr>
            <w:tcW w:w="421" w:type="pct"/>
          </w:tcPr>
          <w:p w14:paraId="6D02B1F6" w14:textId="77777777" w:rsidR="00204DF9" w:rsidRPr="00847A38" w:rsidRDefault="00204DF9">
            <w:pPr>
              <w:pStyle w:val="Normalweb"/>
              <w:rPr>
                <w:lang w:val="en-US"/>
              </w:rPr>
            </w:pPr>
          </w:p>
        </w:tc>
        <w:tc>
          <w:tcPr>
            <w:tcW w:w="367" w:type="pct"/>
          </w:tcPr>
          <w:p w14:paraId="1B722BFF" w14:textId="733355D1" w:rsidR="00204DF9" w:rsidRPr="00847A38" w:rsidRDefault="00204DF9">
            <w:pPr>
              <w:pStyle w:val="Normalweb"/>
              <w:rPr>
                <w:lang w:val="en-US"/>
              </w:rPr>
            </w:pPr>
            <w:r w:rsidRPr="00847A38">
              <w:rPr>
                <w:lang w:val="en-US"/>
              </w:rPr>
              <w:t>15%</w:t>
            </w:r>
          </w:p>
        </w:tc>
        <w:tc>
          <w:tcPr>
            <w:tcW w:w="312" w:type="pct"/>
          </w:tcPr>
          <w:p w14:paraId="060E9268" w14:textId="77777777" w:rsidR="00204DF9" w:rsidRPr="00847A38" w:rsidRDefault="00204DF9">
            <w:pPr>
              <w:pStyle w:val="Normalweb"/>
              <w:rPr>
                <w:lang w:val="en-US"/>
              </w:rPr>
            </w:pPr>
          </w:p>
        </w:tc>
      </w:tr>
      <w:tr w:rsidR="00160417" w:rsidRPr="00847A38" w14:paraId="611F77DF" w14:textId="77777777" w:rsidTr="00160417">
        <w:tc>
          <w:tcPr>
            <w:tcW w:w="443" w:type="pct"/>
          </w:tcPr>
          <w:p w14:paraId="3BD526F8" w14:textId="47726A62" w:rsidR="00204DF9" w:rsidRPr="00847A38" w:rsidRDefault="00204DF9">
            <w:pPr>
              <w:pStyle w:val="Normalweb"/>
              <w:rPr>
                <w:lang w:val="en-US"/>
              </w:rPr>
            </w:pPr>
            <w:r w:rsidRPr="00847A38">
              <w:rPr>
                <w:lang w:val="en-US"/>
              </w:rPr>
              <w:t>Modig et al.</w:t>
            </w:r>
          </w:p>
        </w:tc>
        <w:tc>
          <w:tcPr>
            <w:tcW w:w="657" w:type="pct"/>
          </w:tcPr>
          <w:p w14:paraId="7B44DAD9" w14:textId="26DE0CE2" w:rsidR="00204DF9" w:rsidRPr="00847A38" w:rsidRDefault="00204DF9">
            <w:pPr>
              <w:pStyle w:val="Normalweb"/>
              <w:rPr>
                <w:lang w:val="en-US"/>
              </w:rPr>
            </w:pPr>
            <w:r w:rsidRPr="00847A38">
              <w:rPr>
                <w:lang w:val="en-US"/>
              </w:rPr>
              <w:t>32 (16W/16M)</w:t>
            </w:r>
          </w:p>
        </w:tc>
        <w:tc>
          <w:tcPr>
            <w:tcW w:w="410" w:type="pct"/>
          </w:tcPr>
          <w:p w14:paraId="293D61AE" w14:textId="7A75EE42" w:rsidR="00204DF9" w:rsidRPr="00847A38" w:rsidRDefault="00204DF9">
            <w:pPr>
              <w:pStyle w:val="Normalweb"/>
              <w:rPr>
                <w:lang w:val="en-US"/>
              </w:rPr>
            </w:pPr>
            <w:r w:rsidRPr="00847A38">
              <w:rPr>
                <w:lang w:val="en-US"/>
              </w:rPr>
              <w:t>X</w:t>
            </w:r>
          </w:p>
        </w:tc>
        <w:tc>
          <w:tcPr>
            <w:tcW w:w="421" w:type="pct"/>
          </w:tcPr>
          <w:p w14:paraId="1B8CA01C" w14:textId="22E203C9" w:rsidR="00204DF9" w:rsidRPr="00847A38" w:rsidRDefault="00204DF9">
            <w:pPr>
              <w:pStyle w:val="Normalweb"/>
              <w:rPr>
                <w:lang w:val="en-US"/>
              </w:rPr>
            </w:pPr>
            <w:r w:rsidRPr="00847A38">
              <w:rPr>
                <w:lang w:val="en-US"/>
              </w:rPr>
              <w:t>55%</w:t>
            </w:r>
          </w:p>
        </w:tc>
        <w:tc>
          <w:tcPr>
            <w:tcW w:w="421" w:type="pct"/>
          </w:tcPr>
          <w:p w14:paraId="7CE70D96" w14:textId="53B7F855" w:rsidR="00204DF9" w:rsidRPr="00847A38" w:rsidRDefault="00204DF9">
            <w:pPr>
              <w:pStyle w:val="Normalweb"/>
              <w:rPr>
                <w:lang w:val="en-US"/>
              </w:rPr>
            </w:pPr>
            <w:r w:rsidRPr="00847A38">
              <w:rPr>
                <w:lang w:val="en-US"/>
              </w:rPr>
              <w:t>13%</w:t>
            </w:r>
          </w:p>
        </w:tc>
        <w:tc>
          <w:tcPr>
            <w:tcW w:w="421" w:type="pct"/>
          </w:tcPr>
          <w:p w14:paraId="47013545" w14:textId="53D48AF0" w:rsidR="00204DF9" w:rsidRPr="00847A38" w:rsidRDefault="00204DF9">
            <w:pPr>
              <w:pStyle w:val="Normalweb"/>
              <w:rPr>
                <w:lang w:val="en-US"/>
              </w:rPr>
            </w:pPr>
            <w:r w:rsidRPr="00847A38">
              <w:rPr>
                <w:lang w:val="en-US"/>
              </w:rPr>
              <w:t>2%</w:t>
            </w:r>
          </w:p>
        </w:tc>
        <w:tc>
          <w:tcPr>
            <w:tcW w:w="485" w:type="pct"/>
          </w:tcPr>
          <w:p w14:paraId="1465629F" w14:textId="77777777" w:rsidR="00204DF9" w:rsidRPr="00847A38" w:rsidRDefault="00204DF9">
            <w:pPr>
              <w:pStyle w:val="Normalweb"/>
              <w:rPr>
                <w:lang w:val="en-US"/>
              </w:rPr>
            </w:pPr>
          </w:p>
        </w:tc>
        <w:tc>
          <w:tcPr>
            <w:tcW w:w="223" w:type="pct"/>
          </w:tcPr>
          <w:p w14:paraId="0633F73E" w14:textId="77777777" w:rsidR="00204DF9" w:rsidRPr="00847A38" w:rsidRDefault="00204DF9">
            <w:pPr>
              <w:pStyle w:val="Normalweb"/>
              <w:rPr>
                <w:lang w:val="en-US"/>
              </w:rPr>
            </w:pPr>
          </w:p>
        </w:tc>
        <w:tc>
          <w:tcPr>
            <w:tcW w:w="421" w:type="pct"/>
          </w:tcPr>
          <w:p w14:paraId="10853D57" w14:textId="48D3F392" w:rsidR="00204DF9" w:rsidRPr="00847A38" w:rsidRDefault="00204DF9">
            <w:pPr>
              <w:pStyle w:val="Normalweb"/>
              <w:rPr>
                <w:lang w:val="en-US"/>
              </w:rPr>
            </w:pPr>
          </w:p>
        </w:tc>
        <w:tc>
          <w:tcPr>
            <w:tcW w:w="421" w:type="pct"/>
          </w:tcPr>
          <w:p w14:paraId="628EE255" w14:textId="77777777" w:rsidR="00204DF9" w:rsidRPr="00847A38" w:rsidRDefault="00204DF9">
            <w:pPr>
              <w:pStyle w:val="Normalweb"/>
              <w:rPr>
                <w:lang w:val="en-US"/>
              </w:rPr>
            </w:pPr>
          </w:p>
        </w:tc>
        <w:tc>
          <w:tcPr>
            <w:tcW w:w="367" w:type="pct"/>
          </w:tcPr>
          <w:p w14:paraId="1E8DCBC5" w14:textId="1A03325B" w:rsidR="00204DF9" w:rsidRPr="00847A38" w:rsidRDefault="00204DF9">
            <w:pPr>
              <w:pStyle w:val="Normalweb"/>
              <w:rPr>
                <w:lang w:val="en-US"/>
              </w:rPr>
            </w:pPr>
            <w:r w:rsidRPr="00847A38">
              <w:rPr>
                <w:lang w:val="en-US"/>
              </w:rPr>
              <w:t>30%</w:t>
            </w:r>
          </w:p>
        </w:tc>
        <w:tc>
          <w:tcPr>
            <w:tcW w:w="312" w:type="pct"/>
          </w:tcPr>
          <w:p w14:paraId="40CF05D4" w14:textId="77777777" w:rsidR="00204DF9" w:rsidRPr="00847A38" w:rsidRDefault="00204DF9">
            <w:pPr>
              <w:pStyle w:val="Normalweb"/>
              <w:rPr>
                <w:lang w:val="en-US"/>
              </w:rPr>
            </w:pPr>
          </w:p>
        </w:tc>
      </w:tr>
      <w:tr w:rsidR="00160417" w:rsidRPr="00847A38" w14:paraId="43B5260D" w14:textId="77777777" w:rsidTr="00160417">
        <w:tc>
          <w:tcPr>
            <w:tcW w:w="443" w:type="pct"/>
          </w:tcPr>
          <w:p w14:paraId="6ED6AE14" w14:textId="0B681C01" w:rsidR="00204DF9" w:rsidRPr="00847A38" w:rsidRDefault="00204DF9">
            <w:pPr>
              <w:pStyle w:val="Normalweb"/>
              <w:rPr>
                <w:lang w:val="en-US"/>
              </w:rPr>
            </w:pPr>
            <w:r w:rsidRPr="00847A38">
              <w:rPr>
                <w:lang w:val="en-US"/>
              </w:rPr>
              <w:t>Hågensli et al.</w:t>
            </w:r>
          </w:p>
        </w:tc>
        <w:tc>
          <w:tcPr>
            <w:tcW w:w="657" w:type="pct"/>
          </w:tcPr>
          <w:p w14:paraId="3CE11AF2" w14:textId="2FA0FA51" w:rsidR="00204DF9" w:rsidRPr="00847A38" w:rsidRDefault="00204DF9">
            <w:pPr>
              <w:pStyle w:val="Normalweb"/>
              <w:rPr>
                <w:lang w:val="en-US"/>
              </w:rPr>
            </w:pPr>
            <w:r w:rsidRPr="00847A38">
              <w:rPr>
                <w:lang w:val="en-US"/>
              </w:rPr>
              <w:t>396 (192W/204M)</w:t>
            </w:r>
          </w:p>
        </w:tc>
        <w:tc>
          <w:tcPr>
            <w:tcW w:w="410" w:type="pct"/>
          </w:tcPr>
          <w:p w14:paraId="4FBC0B91" w14:textId="77777777" w:rsidR="00204DF9" w:rsidRPr="00847A38" w:rsidRDefault="00204DF9">
            <w:pPr>
              <w:pStyle w:val="Normalweb"/>
              <w:rPr>
                <w:lang w:val="en-US"/>
              </w:rPr>
            </w:pPr>
          </w:p>
        </w:tc>
        <w:tc>
          <w:tcPr>
            <w:tcW w:w="421" w:type="pct"/>
          </w:tcPr>
          <w:p w14:paraId="22D37C20" w14:textId="7B87A43A" w:rsidR="00204DF9" w:rsidRPr="00847A38" w:rsidRDefault="00204DF9">
            <w:pPr>
              <w:pStyle w:val="Normalweb"/>
              <w:rPr>
                <w:lang w:val="en-US"/>
              </w:rPr>
            </w:pPr>
            <w:r w:rsidRPr="00847A38">
              <w:rPr>
                <w:lang w:val="en-US"/>
              </w:rPr>
              <w:t>82% (very and somewhat important)</w:t>
            </w:r>
          </w:p>
        </w:tc>
        <w:tc>
          <w:tcPr>
            <w:tcW w:w="421" w:type="pct"/>
          </w:tcPr>
          <w:p w14:paraId="264D92AC" w14:textId="27B8816B" w:rsidR="00204DF9" w:rsidRPr="00847A38" w:rsidRDefault="00204DF9">
            <w:pPr>
              <w:pStyle w:val="Normalweb"/>
              <w:rPr>
                <w:lang w:val="en-US"/>
              </w:rPr>
            </w:pPr>
            <w:r w:rsidRPr="00847A38">
              <w:rPr>
                <w:lang w:val="en-US"/>
              </w:rPr>
              <w:t>33% (very and somewhat important)</w:t>
            </w:r>
          </w:p>
        </w:tc>
        <w:tc>
          <w:tcPr>
            <w:tcW w:w="421" w:type="pct"/>
          </w:tcPr>
          <w:p w14:paraId="0900890F" w14:textId="77777777" w:rsidR="00204DF9" w:rsidRPr="00847A38" w:rsidRDefault="00204DF9">
            <w:pPr>
              <w:pStyle w:val="Normalweb"/>
              <w:rPr>
                <w:lang w:val="en-US"/>
              </w:rPr>
            </w:pPr>
          </w:p>
        </w:tc>
        <w:tc>
          <w:tcPr>
            <w:tcW w:w="485" w:type="pct"/>
          </w:tcPr>
          <w:p w14:paraId="7496BD3E" w14:textId="77777777" w:rsidR="00204DF9" w:rsidRPr="00847A38" w:rsidRDefault="00204DF9">
            <w:pPr>
              <w:pStyle w:val="Normalweb"/>
              <w:rPr>
                <w:lang w:val="en-US"/>
              </w:rPr>
            </w:pPr>
          </w:p>
        </w:tc>
        <w:tc>
          <w:tcPr>
            <w:tcW w:w="223" w:type="pct"/>
          </w:tcPr>
          <w:p w14:paraId="3ADD670F" w14:textId="77777777" w:rsidR="00204DF9" w:rsidRPr="00847A38" w:rsidRDefault="00204DF9">
            <w:pPr>
              <w:pStyle w:val="Normalweb"/>
              <w:rPr>
                <w:lang w:val="en-US"/>
              </w:rPr>
            </w:pPr>
          </w:p>
        </w:tc>
        <w:tc>
          <w:tcPr>
            <w:tcW w:w="421" w:type="pct"/>
          </w:tcPr>
          <w:p w14:paraId="55E6E796" w14:textId="12A0B8C7" w:rsidR="00204DF9" w:rsidRPr="00847A38" w:rsidRDefault="00204DF9">
            <w:pPr>
              <w:pStyle w:val="Normalweb"/>
              <w:rPr>
                <w:lang w:val="en-US"/>
              </w:rPr>
            </w:pPr>
            <w:r w:rsidRPr="00847A38">
              <w:rPr>
                <w:lang w:val="en-US"/>
              </w:rPr>
              <w:t>88% (very and somewhat important)</w:t>
            </w:r>
          </w:p>
        </w:tc>
        <w:tc>
          <w:tcPr>
            <w:tcW w:w="421" w:type="pct"/>
          </w:tcPr>
          <w:p w14:paraId="164F4D45" w14:textId="1D5FB343" w:rsidR="00204DF9" w:rsidRPr="00847A38" w:rsidRDefault="00204DF9">
            <w:pPr>
              <w:pStyle w:val="Normalweb"/>
              <w:rPr>
                <w:lang w:val="en-US"/>
              </w:rPr>
            </w:pPr>
            <w:r w:rsidRPr="00847A38">
              <w:rPr>
                <w:lang w:val="en-US"/>
              </w:rPr>
              <w:t>70% (very and somewhat important)</w:t>
            </w:r>
          </w:p>
        </w:tc>
        <w:tc>
          <w:tcPr>
            <w:tcW w:w="367" w:type="pct"/>
          </w:tcPr>
          <w:p w14:paraId="7B54197E" w14:textId="77777777" w:rsidR="00204DF9" w:rsidRPr="00847A38" w:rsidRDefault="00204DF9">
            <w:pPr>
              <w:pStyle w:val="Normalweb"/>
              <w:rPr>
                <w:lang w:val="en-US"/>
              </w:rPr>
            </w:pPr>
          </w:p>
        </w:tc>
        <w:tc>
          <w:tcPr>
            <w:tcW w:w="312" w:type="pct"/>
          </w:tcPr>
          <w:p w14:paraId="6462F746" w14:textId="77777777" w:rsidR="00204DF9" w:rsidRPr="00847A38" w:rsidRDefault="00204DF9">
            <w:pPr>
              <w:pStyle w:val="Normalweb"/>
              <w:rPr>
                <w:lang w:val="en-US"/>
              </w:rPr>
            </w:pPr>
          </w:p>
        </w:tc>
      </w:tr>
      <w:tr w:rsidR="00160417" w:rsidRPr="00847A38" w14:paraId="7BE7B7BC" w14:textId="77777777" w:rsidTr="00160417">
        <w:tc>
          <w:tcPr>
            <w:tcW w:w="443" w:type="pct"/>
          </w:tcPr>
          <w:p w14:paraId="06F1B91A" w14:textId="0380A6AE" w:rsidR="00204DF9" w:rsidRPr="00847A38" w:rsidRDefault="00204DF9">
            <w:pPr>
              <w:pStyle w:val="Normalweb"/>
              <w:rPr>
                <w:lang w:val="en-US"/>
              </w:rPr>
            </w:pPr>
            <w:r w:rsidRPr="00847A38">
              <w:rPr>
                <w:lang w:val="en-US"/>
              </w:rPr>
              <w:t>Larsen et al.</w:t>
            </w:r>
          </w:p>
        </w:tc>
        <w:tc>
          <w:tcPr>
            <w:tcW w:w="657" w:type="pct"/>
          </w:tcPr>
          <w:p w14:paraId="0256BD71" w14:textId="4DAFC274" w:rsidR="00204DF9" w:rsidRPr="00847A38" w:rsidRDefault="00204DF9">
            <w:pPr>
              <w:pStyle w:val="Normalweb"/>
              <w:rPr>
                <w:lang w:val="en-US"/>
              </w:rPr>
            </w:pPr>
            <w:r w:rsidRPr="00847A38">
              <w:rPr>
                <w:lang w:val="en-US"/>
              </w:rPr>
              <w:t>105 (93W/12M)</w:t>
            </w:r>
          </w:p>
        </w:tc>
        <w:tc>
          <w:tcPr>
            <w:tcW w:w="410" w:type="pct"/>
          </w:tcPr>
          <w:p w14:paraId="3E0FADBE" w14:textId="77777777" w:rsidR="00204DF9" w:rsidRPr="00847A38" w:rsidRDefault="00204DF9">
            <w:pPr>
              <w:pStyle w:val="Normalweb"/>
              <w:rPr>
                <w:lang w:val="en-US"/>
              </w:rPr>
            </w:pPr>
          </w:p>
        </w:tc>
        <w:tc>
          <w:tcPr>
            <w:tcW w:w="421" w:type="pct"/>
          </w:tcPr>
          <w:p w14:paraId="54AE44DB" w14:textId="7C149E73" w:rsidR="00204DF9" w:rsidRPr="00847A38" w:rsidRDefault="00204DF9">
            <w:pPr>
              <w:pStyle w:val="Normalweb"/>
              <w:rPr>
                <w:lang w:val="en-US"/>
              </w:rPr>
            </w:pPr>
          </w:p>
        </w:tc>
        <w:tc>
          <w:tcPr>
            <w:tcW w:w="421" w:type="pct"/>
          </w:tcPr>
          <w:p w14:paraId="3C94773A" w14:textId="77777777" w:rsidR="00204DF9" w:rsidRPr="00847A38" w:rsidRDefault="00204DF9">
            <w:pPr>
              <w:pStyle w:val="Normalweb"/>
              <w:rPr>
                <w:lang w:val="en-US"/>
              </w:rPr>
            </w:pPr>
          </w:p>
        </w:tc>
        <w:tc>
          <w:tcPr>
            <w:tcW w:w="421" w:type="pct"/>
          </w:tcPr>
          <w:p w14:paraId="26AECB9B" w14:textId="77777777" w:rsidR="00204DF9" w:rsidRPr="00847A38" w:rsidRDefault="00204DF9">
            <w:pPr>
              <w:pStyle w:val="Normalweb"/>
              <w:rPr>
                <w:lang w:val="en-US"/>
              </w:rPr>
            </w:pPr>
          </w:p>
        </w:tc>
        <w:tc>
          <w:tcPr>
            <w:tcW w:w="485" w:type="pct"/>
          </w:tcPr>
          <w:p w14:paraId="1AC5C37D" w14:textId="45E4D2FB" w:rsidR="00204DF9" w:rsidRPr="00847A38" w:rsidRDefault="00204DF9">
            <w:pPr>
              <w:pStyle w:val="Normalweb"/>
              <w:rPr>
                <w:lang w:val="en-US"/>
              </w:rPr>
            </w:pPr>
            <w:r w:rsidRPr="00847A38">
              <w:rPr>
                <w:lang w:val="en-US"/>
              </w:rPr>
              <w:t>14%</w:t>
            </w:r>
          </w:p>
        </w:tc>
        <w:tc>
          <w:tcPr>
            <w:tcW w:w="223" w:type="pct"/>
          </w:tcPr>
          <w:p w14:paraId="34F3E7FE" w14:textId="729020D1" w:rsidR="00204DF9" w:rsidRPr="00847A38" w:rsidRDefault="00204DF9">
            <w:pPr>
              <w:pStyle w:val="Normalweb"/>
              <w:rPr>
                <w:lang w:val="en-US"/>
              </w:rPr>
            </w:pPr>
            <w:r w:rsidRPr="00847A38">
              <w:rPr>
                <w:lang w:val="en-US"/>
              </w:rPr>
              <w:t>72%</w:t>
            </w:r>
          </w:p>
        </w:tc>
        <w:tc>
          <w:tcPr>
            <w:tcW w:w="421" w:type="pct"/>
          </w:tcPr>
          <w:p w14:paraId="2FE96582" w14:textId="5AC79033" w:rsidR="00204DF9" w:rsidRPr="00847A38" w:rsidRDefault="00204DF9">
            <w:pPr>
              <w:pStyle w:val="Normalweb"/>
              <w:rPr>
                <w:lang w:val="en-US"/>
              </w:rPr>
            </w:pPr>
          </w:p>
        </w:tc>
        <w:tc>
          <w:tcPr>
            <w:tcW w:w="421" w:type="pct"/>
          </w:tcPr>
          <w:p w14:paraId="27E7F090" w14:textId="77777777" w:rsidR="00204DF9" w:rsidRPr="00847A38" w:rsidRDefault="00204DF9">
            <w:pPr>
              <w:pStyle w:val="Normalweb"/>
              <w:rPr>
                <w:lang w:val="en-US"/>
              </w:rPr>
            </w:pPr>
          </w:p>
        </w:tc>
        <w:tc>
          <w:tcPr>
            <w:tcW w:w="367" w:type="pct"/>
          </w:tcPr>
          <w:p w14:paraId="080490F8" w14:textId="04BF3C40" w:rsidR="00204DF9" w:rsidRPr="00847A38" w:rsidRDefault="00204DF9">
            <w:pPr>
              <w:pStyle w:val="Normalweb"/>
              <w:rPr>
                <w:lang w:val="en-US"/>
              </w:rPr>
            </w:pPr>
            <w:r w:rsidRPr="00847A38">
              <w:rPr>
                <w:lang w:val="en-US"/>
              </w:rPr>
              <w:t>54%</w:t>
            </w:r>
          </w:p>
        </w:tc>
        <w:tc>
          <w:tcPr>
            <w:tcW w:w="312" w:type="pct"/>
          </w:tcPr>
          <w:p w14:paraId="323A269A" w14:textId="77777777" w:rsidR="00204DF9" w:rsidRPr="00847A38" w:rsidRDefault="00204DF9">
            <w:pPr>
              <w:pStyle w:val="Normalweb"/>
              <w:rPr>
                <w:lang w:val="en-US"/>
              </w:rPr>
            </w:pPr>
          </w:p>
        </w:tc>
      </w:tr>
    </w:tbl>
    <w:p w14:paraId="1579F6DF" w14:textId="77777777" w:rsidR="008E3EE8" w:rsidRPr="00847A38" w:rsidRDefault="008E3EE8">
      <w:pPr>
        <w:pStyle w:val="Normalweb"/>
        <w:ind w:left="640" w:hanging="640"/>
        <w:divId w:val="1173568863"/>
        <w:rPr>
          <w:lang w:val="en-US"/>
        </w:rPr>
      </w:pPr>
    </w:p>
    <w:p w14:paraId="0E5D35BC" w14:textId="6F86F479" w:rsidR="008E3EE8" w:rsidRPr="00847A38" w:rsidRDefault="008E3EE8">
      <w:pPr>
        <w:pStyle w:val="Normalweb"/>
        <w:ind w:left="640" w:hanging="640"/>
        <w:divId w:val="1173568863"/>
        <w:rPr>
          <w:lang w:val="en-US"/>
        </w:rPr>
      </w:pPr>
      <w:r w:rsidRPr="00847A38">
        <w:rPr>
          <w:lang w:val="en-US"/>
        </w:rPr>
        <w:br w:type="column"/>
      </w:r>
      <w:r w:rsidRPr="008E5D20">
        <w:rPr>
          <w:i/>
          <w:lang w:val="en-US"/>
        </w:rPr>
        <w:t xml:space="preserve">Table </w:t>
      </w:r>
      <w:r w:rsidR="00AA706F" w:rsidRPr="008E5D20">
        <w:rPr>
          <w:i/>
          <w:lang w:val="en-US"/>
        </w:rPr>
        <w:t>5</w:t>
      </w:r>
      <w:r w:rsidR="00AA706F">
        <w:rPr>
          <w:lang w:val="en-US"/>
        </w:rPr>
        <w:t>: Complications following Orthognathic Surgery.</w:t>
      </w:r>
    </w:p>
    <w:tbl>
      <w:tblPr>
        <w:tblStyle w:val="Tabelgitter"/>
        <w:tblW w:w="5064" w:type="pct"/>
        <w:tblInd w:w="-176" w:type="dxa"/>
        <w:tblLayout w:type="fixed"/>
        <w:tblLook w:val="04A0" w:firstRow="1" w:lastRow="0" w:firstColumn="1" w:lastColumn="0" w:noHBand="0" w:noVBand="1"/>
      </w:tblPr>
      <w:tblGrid>
        <w:gridCol w:w="835"/>
        <w:gridCol w:w="1045"/>
        <w:gridCol w:w="880"/>
        <w:gridCol w:w="979"/>
        <w:gridCol w:w="965"/>
        <w:gridCol w:w="965"/>
        <w:gridCol w:w="1087"/>
        <w:gridCol w:w="1087"/>
        <w:gridCol w:w="1037"/>
        <w:gridCol w:w="949"/>
        <w:gridCol w:w="910"/>
        <w:gridCol w:w="1032"/>
        <w:gridCol w:w="1029"/>
        <w:gridCol w:w="1029"/>
      </w:tblGrid>
      <w:tr w:rsidR="00A21092" w:rsidRPr="00847A38" w14:paraId="7E9CA61B" w14:textId="1B4C90A3" w:rsidTr="00A21092">
        <w:trPr>
          <w:divId w:val="1173568863"/>
        </w:trPr>
        <w:tc>
          <w:tcPr>
            <w:tcW w:w="302" w:type="pct"/>
            <w:vMerge w:val="restart"/>
            <w:shd w:val="clear" w:color="auto" w:fill="8DB3E2" w:themeFill="text2" w:themeFillTint="66"/>
          </w:tcPr>
          <w:p w14:paraId="7F30ED27" w14:textId="77777777" w:rsidR="00A21092" w:rsidRPr="00847A38" w:rsidRDefault="00A21092" w:rsidP="008E3EE8">
            <w:pPr>
              <w:pStyle w:val="Normalweb"/>
              <w:rPr>
                <w:lang w:val="en-US"/>
              </w:rPr>
            </w:pPr>
            <w:r w:rsidRPr="00847A38">
              <w:rPr>
                <w:lang w:val="en-US"/>
              </w:rPr>
              <w:t>Author:</w:t>
            </w:r>
          </w:p>
        </w:tc>
        <w:tc>
          <w:tcPr>
            <w:tcW w:w="378" w:type="pct"/>
            <w:vMerge w:val="restart"/>
            <w:shd w:val="clear" w:color="auto" w:fill="8DB3E2" w:themeFill="text2" w:themeFillTint="66"/>
          </w:tcPr>
          <w:p w14:paraId="10079296" w14:textId="21B27138" w:rsidR="00A21092" w:rsidRPr="00847A38" w:rsidRDefault="00A21092" w:rsidP="008E3EE8">
            <w:pPr>
              <w:pStyle w:val="Normalweb"/>
              <w:rPr>
                <w:lang w:val="en-US"/>
              </w:rPr>
            </w:pPr>
            <w:r w:rsidRPr="00847A38">
              <w:rPr>
                <w:lang w:val="en-US"/>
              </w:rPr>
              <w:t>Year of publication:</w:t>
            </w:r>
          </w:p>
        </w:tc>
        <w:tc>
          <w:tcPr>
            <w:tcW w:w="318" w:type="pct"/>
            <w:vMerge w:val="restart"/>
            <w:shd w:val="clear" w:color="auto" w:fill="8DB3E2" w:themeFill="text2" w:themeFillTint="66"/>
          </w:tcPr>
          <w:p w14:paraId="1306DDD1" w14:textId="2209F54F" w:rsidR="00A21092" w:rsidRPr="00847A38" w:rsidRDefault="00A21092" w:rsidP="008E3EE8">
            <w:pPr>
              <w:pStyle w:val="Normalweb"/>
              <w:rPr>
                <w:lang w:val="en-US"/>
              </w:rPr>
            </w:pPr>
            <w:r w:rsidRPr="00847A38">
              <w:rPr>
                <w:lang w:val="en-US"/>
              </w:rPr>
              <w:t>Study group (number of patients):</w:t>
            </w:r>
          </w:p>
        </w:tc>
        <w:tc>
          <w:tcPr>
            <w:tcW w:w="703" w:type="pct"/>
            <w:gridSpan w:val="2"/>
            <w:shd w:val="clear" w:color="auto" w:fill="8DB3E2" w:themeFill="text2" w:themeFillTint="66"/>
          </w:tcPr>
          <w:p w14:paraId="064F907D" w14:textId="4578DEC0" w:rsidR="00A21092" w:rsidRPr="00847A38" w:rsidRDefault="00A21092" w:rsidP="008E3EE8">
            <w:pPr>
              <w:pStyle w:val="Normalweb"/>
              <w:rPr>
                <w:lang w:val="en-US"/>
              </w:rPr>
            </w:pPr>
            <w:r w:rsidRPr="00847A38">
              <w:rPr>
                <w:lang w:val="en-US"/>
              </w:rPr>
              <w:t>Procedure (number):</w:t>
            </w:r>
          </w:p>
        </w:tc>
        <w:tc>
          <w:tcPr>
            <w:tcW w:w="2927" w:type="pct"/>
            <w:gridSpan w:val="8"/>
            <w:shd w:val="clear" w:color="auto" w:fill="8DB3E2" w:themeFill="text2" w:themeFillTint="66"/>
          </w:tcPr>
          <w:p w14:paraId="7812D4BD" w14:textId="59BBB20E" w:rsidR="00A21092" w:rsidRPr="00847A38" w:rsidRDefault="00A21092" w:rsidP="008E3EE8">
            <w:pPr>
              <w:pStyle w:val="Normalweb"/>
              <w:rPr>
                <w:lang w:val="en-US"/>
              </w:rPr>
            </w:pPr>
            <w:r w:rsidRPr="00847A38">
              <w:rPr>
                <w:lang w:val="en-US"/>
              </w:rPr>
              <w:t>Complications (%):</w:t>
            </w:r>
          </w:p>
        </w:tc>
        <w:tc>
          <w:tcPr>
            <w:tcW w:w="372" w:type="pct"/>
            <w:vMerge w:val="restart"/>
            <w:shd w:val="clear" w:color="auto" w:fill="8DB3E2" w:themeFill="text2" w:themeFillTint="66"/>
          </w:tcPr>
          <w:p w14:paraId="63558EA9" w14:textId="7A144E75" w:rsidR="00A21092" w:rsidRPr="00847A38" w:rsidRDefault="00A21092" w:rsidP="008E3EE8">
            <w:pPr>
              <w:pStyle w:val="Normalweb"/>
              <w:rPr>
                <w:lang w:val="en-US"/>
              </w:rPr>
            </w:pPr>
            <w:r w:rsidRPr="00847A38">
              <w:rPr>
                <w:lang w:val="en-US"/>
              </w:rPr>
              <w:t>Postoperative period (months):</w:t>
            </w:r>
          </w:p>
        </w:tc>
      </w:tr>
      <w:tr w:rsidR="00A21092" w:rsidRPr="00847A38" w14:paraId="5DC19599" w14:textId="644ED43E" w:rsidTr="00A21092">
        <w:trPr>
          <w:divId w:val="1173568863"/>
        </w:trPr>
        <w:tc>
          <w:tcPr>
            <w:tcW w:w="302" w:type="pct"/>
            <w:vMerge/>
            <w:shd w:val="clear" w:color="auto" w:fill="8DB3E2" w:themeFill="text2" w:themeFillTint="66"/>
          </w:tcPr>
          <w:p w14:paraId="5A9D6819" w14:textId="77777777" w:rsidR="00A21092" w:rsidRPr="00847A38" w:rsidRDefault="00A21092" w:rsidP="008E3EE8">
            <w:pPr>
              <w:pStyle w:val="Normalweb"/>
              <w:rPr>
                <w:lang w:val="en-US"/>
              </w:rPr>
            </w:pPr>
          </w:p>
        </w:tc>
        <w:tc>
          <w:tcPr>
            <w:tcW w:w="378" w:type="pct"/>
            <w:vMerge/>
            <w:shd w:val="clear" w:color="auto" w:fill="8DB3E2" w:themeFill="text2" w:themeFillTint="66"/>
          </w:tcPr>
          <w:p w14:paraId="4A93D491" w14:textId="77777777" w:rsidR="00A21092" w:rsidRPr="00847A38" w:rsidRDefault="00A21092" w:rsidP="008E3EE8">
            <w:pPr>
              <w:pStyle w:val="Normalweb"/>
              <w:rPr>
                <w:lang w:val="en-US"/>
              </w:rPr>
            </w:pPr>
          </w:p>
        </w:tc>
        <w:tc>
          <w:tcPr>
            <w:tcW w:w="318" w:type="pct"/>
            <w:vMerge/>
            <w:shd w:val="clear" w:color="auto" w:fill="8DB3E2" w:themeFill="text2" w:themeFillTint="66"/>
          </w:tcPr>
          <w:p w14:paraId="63AF5E86" w14:textId="0D8F393F" w:rsidR="00A21092" w:rsidRPr="00847A38" w:rsidRDefault="00A21092" w:rsidP="008E3EE8">
            <w:pPr>
              <w:pStyle w:val="Normalweb"/>
              <w:rPr>
                <w:lang w:val="en-US"/>
              </w:rPr>
            </w:pPr>
          </w:p>
        </w:tc>
        <w:tc>
          <w:tcPr>
            <w:tcW w:w="354" w:type="pct"/>
            <w:shd w:val="clear" w:color="auto" w:fill="8DB3E2" w:themeFill="text2" w:themeFillTint="66"/>
          </w:tcPr>
          <w:p w14:paraId="0726212F" w14:textId="42A66FC5" w:rsidR="00A21092" w:rsidRPr="00847A38" w:rsidRDefault="00A21092" w:rsidP="008E3EE8">
            <w:pPr>
              <w:pStyle w:val="Normalweb"/>
              <w:rPr>
                <w:lang w:val="en-US"/>
              </w:rPr>
            </w:pPr>
            <w:r w:rsidRPr="00847A38">
              <w:rPr>
                <w:lang w:val="en-US"/>
              </w:rPr>
              <w:t>Maxil</w:t>
            </w:r>
          </w:p>
        </w:tc>
        <w:tc>
          <w:tcPr>
            <w:tcW w:w="349" w:type="pct"/>
            <w:shd w:val="clear" w:color="auto" w:fill="8DB3E2" w:themeFill="text2" w:themeFillTint="66"/>
          </w:tcPr>
          <w:p w14:paraId="40E125B5" w14:textId="0DC71B37" w:rsidR="00A21092" w:rsidRPr="00847A38" w:rsidRDefault="00A21092" w:rsidP="008E3EE8">
            <w:pPr>
              <w:pStyle w:val="Normalweb"/>
              <w:rPr>
                <w:lang w:val="en-US"/>
              </w:rPr>
            </w:pPr>
            <w:r w:rsidRPr="00847A38">
              <w:rPr>
                <w:lang w:val="en-US"/>
              </w:rPr>
              <w:t>Mandible</w:t>
            </w:r>
          </w:p>
        </w:tc>
        <w:tc>
          <w:tcPr>
            <w:tcW w:w="349" w:type="pct"/>
            <w:shd w:val="clear" w:color="auto" w:fill="8DB3E2" w:themeFill="text2" w:themeFillTint="66"/>
          </w:tcPr>
          <w:p w14:paraId="20E81209" w14:textId="3566B958" w:rsidR="00A21092" w:rsidRPr="00847A38" w:rsidRDefault="00A21092" w:rsidP="008E3EE8">
            <w:pPr>
              <w:pStyle w:val="Normalweb"/>
              <w:rPr>
                <w:lang w:val="en-US"/>
              </w:rPr>
            </w:pPr>
            <w:r w:rsidRPr="00847A38">
              <w:rPr>
                <w:lang w:val="en-US"/>
              </w:rPr>
              <w:t>Infection</w:t>
            </w:r>
          </w:p>
        </w:tc>
        <w:tc>
          <w:tcPr>
            <w:tcW w:w="393" w:type="pct"/>
            <w:shd w:val="clear" w:color="auto" w:fill="8DB3E2" w:themeFill="text2" w:themeFillTint="66"/>
          </w:tcPr>
          <w:p w14:paraId="459A487C" w14:textId="3B7EAFF3" w:rsidR="00A21092" w:rsidRPr="00847A38" w:rsidRDefault="00A21092" w:rsidP="008E3EE8">
            <w:pPr>
              <w:pStyle w:val="Normalweb"/>
              <w:rPr>
                <w:lang w:val="en-US"/>
              </w:rPr>
            </w:pPr>
            <w:r w:rsidRPr="00847A38">
              <w:rPr>
                <w:lang w:val="en-US"/>
              </w:rPr>
              <w:t>Nerve injuries/somatosensory changes</w:t>
            </w:r>
          </w:p>
        </w:tc>
        <w:tc>
          <w:tcPr>
            <w:tcW w:w="393" w:type="pct"/>
            <w:shd w:val="clear" w:color="auto" w:fill="8DB3E2" w:themeFill="text2" w:themeFillTint="66"/>
          </w:tcPr>
          <w:p w14:paraId="34167BE7" w14:textId="72ADE5EE" w:rsidR="00A21092" w:rsidRPr="00847A38" w:rsidRDefault="00A21092" w:rsidP="008E3EE8">
            <w:pPr>
              <w:pStyle w:val="Normalweb"/>
              <w:rPr>
                <w:lang w:val="en-US"/>
              </w:rPr>
            </w:pPr>
            <w:r w:rsidRPr="00847A38">
              <w:rPr>
                <w:lang w:val="en-US"/>
              </w:rPr>
              <w:t>TMJ dysfuntion</w:t>
            </w:r>
          </w:p>
        </w:tc>
        <w:tc>
          <w:tcPr>
            <w:tcW w:w="375" w:type="pct"/>
            <w:shd w:val="clear" w:color="auto" w:fill="8DB3E2" w:themeFill="text2" w:themeFillTint="66"/>
          </w:tcPr>
          <w:p w14:paraId="2A822BA6" w14:textId="3F9B6E30" w:rsidR="00A21092" w:rsidRPr="00847A38" w:rsidRDefault="00A21092" w:rsidP="008E3EE8">
            <w:pPr>
              <w:pStyle w:val="Normalweb"/>
              <w:rPr>
                <w:lang w:val="en-US"/>
              </w:rPr>
            </w:pPr>
            <w:r w:rsidRPr="00847A38">
              <w:rPr>
                <w:lang w:val="en-US"/>
              </w:rPr>
              <w:t>Fractures</w:t>
            </w:r>
          </w:p>
        </w:tc>
        <w:tc>
          <w:tcPr>
            <w:tcW w:w="343" w:type="pct"/>
            <w:shd w:val="clear" w:color="auto" w:fill="8DB3E2" w:themeFill="text2" w:themeFillTint="66"/>
          </w:tcPr>
          <w:p w14:paraId="4D5111A2" w14:textId="10C0641B" w:rsidR="00A21092" w:rsidRPr="00847A38" w:rsidRDefault="00A21092" w:rsidP="008E3EE8">
            <w:pPr>
              <w:pStyle w:val="Normalweb"/>
              <w:rPr>
                <w:lang w:val="en-US"/>
              </w:rPr>
            </w:pPr>
            <w:r w:rsidRPr="00847A38">
              <w:rPr>
                <w:lang w:val="en-US"/>
              </w:rPr>
              <w:t>Condylar resorption</w:t>
            </w:r>
          </w:p>
        </w:tc>
        <w:tc>
          <w:tcPr>
            <w:tcW w:w="329" w:type="pct"/>
            <w:shd w:val="clear" w:color="auto" w:fill="8DB3E2" w:themeFill="text2" w:themeFillTint="66"/>
          </w:tcPr>
          <w:p w14:paraId="5F46EB6F" w14:textId="381F1811" w:rsidR="00A21092" w:rsidRPr="00847A38" w:rsidRDefault="00A21092" w:rsidP="008E3EE8">
            <w:pPr>
              <w:pStyle w:val="Normalweb"/>
              <w:rPr>
                <w:lang w:val="en-US"/>
              </w:rPr>
            </w:pPr>
            <w:r w:rsidRPr="00847A38">
              <w:rPr>
                <w:lang w:val="en-US"/>
              </w:rPr>
              <w:t>Relapse</w:t>
            </w:r>
          </w:p>
        </w:tc>
        <w:tc>
          <w:tcPr>
            <w:tcW w:w="373" w:type="pct"/>
            <w:shd w:val="clear" w:color="auto" w:fill="8DB3E2" w:themeFill="text2" w:themeFillTint="66"/>
          </w:tcPr>
          <w:p w14:paraId="14DCC7EF" w14:textId="73AE0208" w:rsidR="00A21092" w:rsidRPr="00847A38" w:rsidRDefault="00A21092" w:rsidP="008E3EE8">
            <w:pPr>
              <w:pStyle w:val="Normalweb"/>
              <w:rPr>
                <w:lang w:val="en-US"/>
              </w:rPr>
            </w:pPr>
            <w:r w:rsidRPr="00847A38">
              <w:rPr>
                <w:lang w:val="en-US"/>
              </w:rPr>
              <w:t>Respiratory difficulty</w:t>
            </w:r>
          </w:p>
        </w:tc>
        <w:tc>
          <w:tcPr>
            <w:tcW w:w="372" w:type="pct"/>
            <w:shd w:val="clear" w:color="auto" w:fill="8DB3E2" w:themeFill="text2" w:themeFillTint="66"/>
          </w:tcPr>
          <w:p w14:paraId="728CC658" w14:textId="7590F460" w:rsidR="00A21092" w:rsidRPr="00847A38" w:rsidRDefault="00A21092" w:rsidP="008E3EE8">
            <w:pPr>
              <w:pStyle w:val="Normalweb"/>
              <w:rPr>
                <w:lang w:val="en-US"/>
              </w:rPr>
            </w:pPr>
            <w:r w:rsidRPr="00847A38">
              <w:rPr>
                <w:lang w:val="en-US"/>
              </w:rPr>
              <w:t>Neck pain</w:t>
            </w:r>
          </w:p>
        </w:tc>
        <w:tc>
          <w:tcPr>
            <w:tcW w:w="372" w:type="pct"/>
            <w:vMerge/>
            <w:shd w:val="clear" w:color="auto" w:fill="8DB3E2" w:themeFill="text2" w:themeFillTint="66"/>
          </w:tcPr>
          <w:p w14:paraId="3F31291D" w14:textId="057848C8" w:rsidR="00A21092" w:rsidRPr="00847A38" w:rsidRDefault="00A21092" w:rsidP="008E3EE8">
            <w:pPr>
              <w:pStyle w:val="Normalweb"/>
              <w:rPr>
                <w:lang w:val="en-US"/>
              </w:rPr>
            </w:pPr>
          </w:p>
        </w:tc>
      </w:tr>
      <w:tr w:rsidR="00A21092" w:rsidRPr="00847A38" w14:paraId="68AE7E0F" w14:textId="5C03082A" w:rsidTr="00A21092">
        <w:trPr>
          <w:divId w:val="1173568863"/>
        </w:trPr>
        <w:tc>
          <w:tcPr>
            <w:tcW w:w="302" w:type="pct"/>
          </w:tcPr>
          <w:p w14:paraId="66950770" w14:textId="1097845A" w:rsidR="00A21092" w:rsidRPr="00847A38" w:rsidRDefault="00A21092" w:rsidP="00555A40">
            <w:pPr>
              <w:pStyle w:val="Normalweb"/>
              <w:rPr>
                <w:lang w:val="en-US"/>
              </w:rPr>
            </w:pPr>
            <w:r w:rsidRPr="00847A38">
              <w:rPr>
                <w:lang w:val="en-US"/>
              </w:rPr>
              <w:t>Ianetti et al.</w:t>
            </w:r>
            <w:r w:rsidRPr="00847A38">
              <w:rPr>
                <w:lang w:val="en-US"/>
              </w:rPr>
              <w:fldChar w:fldCharType="begin" w:fldLock="1"/>
            </w:r>
            <w:r w:rsidR="00847A38" w:rsidRPr="00847A38">
              <w:rPr>
                <w:lang w:val="en-US"/>
              </w:rPr>
              <w:instrText>ADDIN CSL_CITATION { "citationItems" : [ { "id" : "ITEM-1", "itemData" : { "ISBN" : "1128-3602", "ISSN" : "1128-3602", "PMID" : "23426542", "abstract" : "BACKGROUND AND OBJECTIVES: From 1989 to 2009, at the Department of Cranio-Maxillo-Facial Surgery, Umberto I Polyclinic, \"Sapienza\" University of Rome, 3236 patients affected by maxillo-mandibular malformations were submitted to orthognathic surgery, by means of rigid internal fixation. Follow-up highlighted the surgical complications and the possible functional and/or esthetical disorders in the treatment of those pathologies. The data collected have been compared with the ones reported in the literature. MATERIALS AND METHODS: 3236 patients were evaluated clinically and radiographically. The X-rays have been performed before the study, after 24-48 hours, at 6 months and year after surgery. RESULTS: The most frequent surgical complication was the mandibular nerve sensitivity deficit (19%), irreversible only in 2% of the cases. Temporomandibular joint disorders (TMD), which are widely reported in the international literature, have been relevant in our study too. In particular, TMD occurred in those patients who were already affected by the disorder (from 28.3% to 18.1%); besides, in 11% of cases the symptom appeared after surgery and was treated by means of splint or physiotherapy. Infectious complications occurred in 2% of cases and fractures of the bone elements in 1.5% of cases. The other complications quoted internationally occurred in an irrelevant percentage in our study. CONCLUSIONS: We believe that orthognathic surgery complications are quite rare and the percentages reported both in our study and in the literature have to be considered as surgical mistakes related to the surgeon experience or as real complications of the orthognathic surgery. Furthermore, as the success of this kind of surgery depends upon many factors, surgical complications represent only one of the causes of the failure. Other causes could be mistakes in planning, unsuitable orthodontic treatment and, finally, an unsuitable assessment of the patients' esthetical and functional problems.", "author" : [ { "dropping-particle" : "", "family" : "Iannetti", "given" : "G", "non-dropping-particle" : "", "parse-names" : false, "suffix" : "" }, { "dropping-particle" : "", "family" : "Fadda", "given" : "T M", "non-dropping-particle" : "", "parse-names" : false, "suffix" : "" }, { "dropping-particle" : "", "family" : "Riccardi", "given" : "E", "non-dropping-particle" : "", "parse-names" : false, "suffix" : "" }, { "dropping-particle" : "", "family" : "Mitro", "given" : "V", "non-dropping-particle" : "", "parse-names" : false, "suffix" : "" }, { "dropping-particle" : "", "family" : "Filiaci", "given" : "F", "non-dropping-particle" : "", "parse-names" : false, "suffix" : "" } ], "container-title" : "European review for medical and pharmacological sciences", "id" : "ITEM-1", "issue" : "3", "issued" : { "date-parts" : [ [ "2013" ] ] }, "page" : "379-84", "title" : "Our experience in complications of orthognathic surgery: a retrospective study on 3236 patients.", "type" : "article-journal", "volume" : "17" }, "uris" : [ "http://www.mendeley.com/documents/?uuid=49f459c6-2526-48c4-a1f9-144518ce924f" ] } ], "mendeley" : { "formattedCitation" : "[24]", "plainTextFormattedCitation" : "[24]", "previouslyFormattedCitation" : "[24]" }, "properties" : { "noteIndex" : 0 }, "schema" : "https://github.com/citation-style-language/schema/raw/master/csl-citation.json" }</w:instrText>
            </w:r>
            <w:r w:rsidRPr="00847A38">
              <w:rPr>
                <w:lang w:val="en-US"/>
              </w:rPr>
              <w:fldChar w:fldCharType="separate"/>
            </w:r>
            <w:r w:rsidR="00847A38" w:rsidRPr="00847A38">
              <w:rPr>
                <w:noProof/>
                <w:lang w:val="en-US"/>
              </w:rPr>
              <w:t>[24]</w:t>
            </w:r>
            <w:r w:rsidRPr="00847A38">
              <w:rPr>
                <w:lang w:val="en-US"/>
              </w:rPr>
              <w:fldChar w:fldCharType="end"/>
            </w:r>
          </w:p>
        </w:tc>
        <w:tc>
          <w:tcPr>
            <w:tcW w:w="378" w:type="pct"/>
          </w:tcPr>
          <w:p w14:paraId="772C66E3" w14:textId="64BA456A" w:rsidR="00A21092" w:rsidRPr="00847A38" w:rsidRDefault="00A21092" w:rsidP="008E3EE8">
            <w:pPr>
              <w:pStyle w:val="Normalweb"/>
              <w:rPr>
                <w:lang w:val="en-US"/>
              </w:rPr>
            </w:pPr>
            <w:r w:rsidRPr="00847A38">
              <w:rPr>
                <w:lang w:val="en-US"/>
              </w:rPr>
              <w:t>2013</w:t>
            </w:r>
          </w:p>
        </w:tc>
        <w:tc>
          <w:tcPr>
            <w:tcW w:w="318" w:type="pct"/>
          </w:tcPr>
          <w:p w14:paraId="7E4B535D" w14:textId="52D2314D" w:rsidR="00A21092" w:rsidRPr="00847A38" w:rsidRDefault="00A21092" w:rsidP="008E3EE8">
            <w:pPr>
              <w:pStyle w:val="Normalweb"/>
              <w:rPr>
                <w:lang w:val="en-US"/>
              </w:rPr>
            </w:pPr>
            <w:r w:rsidRPr="00847A38">
              <w:rPr>
                <w:lang w:val="en-US"/>
              </w:rPr>
              <w:t>3236</w:t>
            </w:r>
          </w:p>
        </w:tc>
        <w:tc>
          <w:tcPr>
            <w:tcW w:w="354" w:type="pct"/>
          </w:tcPr>
          <w:p w14:paraId="3F481EFE" w14:textId="5B8B85DA" w:rsidR="00A21092" w:rsidRPr="00847A38" w:rsidRDefault="00A21092" w:rsidP="0059014D">
            <w:pPr>
              <w:pStyle w:val="Normalweb"/>
              <w:rPr>
                <w:lang w:val="en-US"/>
              </w:rPr>
            </w:pPr>
            <w:r w:rsidRPr="00847A38">
              <w:rPr>
                <w:lang w:val="en-US"/>
              </w:rPr>
              <w:t>2,783</w:t>
            </w:r>
          </w:p>
        </w:tc>
        <w:tc>
          <w:tcPr>
            <w:tcW w:w="349" w:type="pct"/>
          </w:tcPr>
          <w:p w14:paraId="2B5A1F08" w14:textId="42F4CE75" w:rsidR="00A21092" w:rsidRPr="00847A38" w:rsidRDefault="00A21092" w:rsidP="008E3EE8">
            <w:pPr>
              <w:pStyle w:val="Normalweb"/>
              <w:rPr>
                <w:lang w:val="en-US"/>
              </w:rPr>
            </w:pPr>
            <w:r w:rsidRPr="00847A38">
              <w:rPr>
                <w:lang w:val="en-US"/>
              </w:rPr>
              <w:t>2,912</w:t>
            </w:r>
          </w:p>
        </w:tc>
        <w:tc>
          <w:tcPr>
            <w:tcW w:w="349" w:type="pct"/>
          </w:tcPr>
          <w:p w14:paraId="226E8250" w14:textId="18706833" w:rsidR="00A21092" w:rsidRPr="00847A38" w:rsidRDefault="00A21092" w:rsidP="008E3EE8">
            <w:pPr>
              <w:pStyle w:val="Normalweb"/>
              <w:rPr>
                <w:lang w:val="en-US"/>
              </w:rPr>
            </w:pPr>
            <w:r w:rsidRPr="00847A38">
              <w:rPr>
                <w:lang w:val="en-US"/>
              </w:rPr>
              <w:t>2</w:t>
            </w:r>
          </w:p>
        </w:tc>
        <w:tc>
          <w:tcPr>
            <w:tcW w:w="393" w:type="pct"/>
          </w:tcPr>
          <w:p w14:paraId="666BE64C" w14:textId="79061CC0" w:rsidR="00A21092" w:rsidRPr="00847A38" w:rsidRDefault="00A21092" w:rsidP="008E3EE8">
            <w:pPr>
              <w:pStyle w:val="Normalweb"/>
              <w:rPr>
                <w:lang w:val="en-US"/>
              </w:rPr>
            </w:pPr>
            <w:r w:rsidRPr="00847A38">
              <w:rPr>
                <w:lang w:val="en-US"/>
              </w:rPr>
              <w:t>19</w:t>
            </w:r>
          </w:p>
        </w:tc>
        <w:tc>
          <w:tcPr>
            <w:tcW w:w="393" w:type="pct"/>
          </w:tcPr>
          <w:p w14:paraId="493D2105" w14:textId="7A89D95F" w:rsidR="00A21092" w:rsidRPr="00847A38" w:rsidRDefault="00A21092" w:rsidP="008E3EE8">
            <w:pPr>
              <w:pStyle w:val="Normalweb"/>
              <w:rPr>
                <w:lang w:val="en-US"/>
              </w:rPr>
            </w:pPr>
            <w:r w:rsidRPr="00847A38">
              <w:rPr>
                <w:lang w:val="en-US"/>
              </w:rPr>
              <w:t>11</w:t>
            </w:r>
          </w:p>
        </w:tc>
        <w:tc>
          <w:tcPr>
            <w:tcW w:w="375" w:type="pct"/>
          </w:tcPr>
          <w:p w14:paraId="1DBAD01F" w14:textId="156519CF" w:rsidR="00A21092" w:rsidRPr="00847A38" w:rsidRDefault="00A21092" w:rsidP="008E3EE8">
            <w:pPr>
              <w:pStyle w:val="Normalweb"/>
              <w:rPr>
                <w:lang w:val="en-US"/>
              </w:rPr>
            </w:pPr>
            <w:r w:rsidRPr="00847A38">
              <w:rPr>
                <w:lang w:val="en-US"/>
              </w:rPr>
              <w:t>1</w:t>
            </w:r>
          </w:p>
        </w:tc>
        <w:tc>
          <w:tcPr>
            <w:tcW w:w="343" w:type="pct"/>
          </w:tcPr>
          <w:p w14:paraId="389165B9" w14:textId="7FE7798D" w:rsidR="00A21092" w:rsidRPr="00847A38" w:rsidRDefault="00A21092" w:rsidP="008E3EE8">
            <w:pPr>
              <w:pStyle w:val="Normalweb"/>
              <w:rPr>
                <w:lang w:val="en-US"/>
              </w:rPr>
            </w:pPr>
            <w:r w:rsidRPr="00847A38">
              <w:rPr>
                <w:lang w:val="en-US"/>
              </w:rPr>
              <w:t>Unknown</w:t>
            </w:r>
          </w:p>
        </w:tc>
        <w:tc>
          <w:tcPr>
            <w:tcW w:w="329" w:type="pct"/>
          </w:tcPr>
          <w:p w14:paraId="58977B4D" w14:textId="6E2F2196" w:rsidR="00A21092" w:rsidRPr="00847A38" w:rsidRDefault="00A21092" w:rsidP="008E3EE8">
            <w:pPr>
              <w:pStyle w:val="Normalweb"/>
              <w:rPr>
                <w:lang w:val="en-US"/>
              </w:rPr>
            </w:pPr>
            <w:r w:rsidRPr="00847A38">
              <w:rPr>
                <w:lang w:val="en-US"/>
              </w:rPr>
              <w:t>Unknown</w:t>
            </w:r>
          </w:p>
        </w:tc>
        <w:tc>
          <w:tcPr>
            <w:tcW w:w="373" w:type="pct"/>
          </w:tcPr>
          <w:p w14:paraId="0C032713" w14:textId="5EF723E0" w:rsidR="00A21092" w:rsidRPr="00847A38" w:rsidRDefault="00A21092" w:rsidP="008E3EE8">
            <w:pPr>
              <w:pStyle w:val="Normalweb"/>
              <w:rPr>
                <w:lang w:val="en-US"/>
              </w:rPr>
            </w:pPr>
            <w:r w:rsidRPr="00847A38">
              <w:rPr>
                <w:lang w:val="en-US"/>
              </w:rPr>
              <w:t>Unknown</w:t>
            </w:r>
          </w:p>
        </w:tc>
        <w:tc>
          <w:tcPr>
            <w:tcW w:w="372" w:type="pct"/>
          </w:tcPr>
          <w:p w14:paraId="6BC619D6" w14:textId="3D103854" w:rsidR="00A21092" w:rsidRPr="00847A38" w:rsidRDefault="00A21092" w:rsidP="008E3EE8">
            <w:pPr>
              <w:pStyle w:val="Normalweb"/>
              <w:rPr>
                <w:lang w:val="en-US"/>
              </w:rPr>
            </w:pPr>
            <w:r w:rsidRPr="00847A38">
              <w:rPr>
                <w:lang w:val="en-US"/>
              </w:rPr>
              <w:t>Unknown</w:t>
            </w:r>
          </w:p>
        </w:tc>
        <w:tc>
          <w:tcPr>
            <w:tcW w:w="372" w:type="pct"/>
          </w:tcPr>
          <w:p w14:paraId="7B5D09CC" w14:textId="1DA205D2" w:rsidR="00A21092" w:rsidRPr="00847A38" w:rsidRDefault="00A21092" w:rsidP="008E3EE8">
            <w:pPr>
              <w:pStyle w:val="Normalweb"/>
              <w:rPr>
                <w:lang w:val="en-US"/>
              </w:rPr>
            </w:pPr>
            <w:r w:rsidRPr="00847A38">
              <w:rPr>
                <w:lang w:val="en-US"/>
              </w:rPr>
              <w:t>12</w:t>
            </w:r>
          </w:p>
        </w:tc>
      </w:tr>
      <w:tr w:rsidR="00A21092" w:rsidRPr="00847A38" w14:paraId="78898C79" w14:textId="3B4DCF72" w:rsidTr="00A21092">
        <w:trPr>
          <w:divId w:val="1173568863"/>
        </w:trPr>
        <w:tc>
          <w:tcPr>
            <w:tcW w:w="302" w:type="pct"/>
          </w:tcPr>
          <w:p w14:paraId="0926EB6E" w14:textId="3E783343" w:rsidR="00A21092" w:rsidRPr="00847A38" w:rsidRDefault="00A21092" w:rsidP="00555A40">
            <w:pPr>
              <w:pStyle w:val="Normalweb"/>
              <w:rPr>
                <w:lang w:val="en-US"/>
              </w:rPr>
            </w:pPr>
            <w:r w:rsidRPr="00847A38">
              <w:rPr>
                <w:lang w:val="en-US"/>
              </w:rPr>
              <w:t>Panula et al.</w:t>
            </w:r>
            <w:r w:rsidRPr="00847A38">
              <w:rPr>
                <w:lang w:val="en-US"/>
              </w:rPr>
              <w:fldChar w:fldCharType="begin" w:fldLock="1"/>
            </w:r>
            <w:r w:rsidR="00847A38" w:rsidRPr="00847A38">
              <w:rPr>
                <w:lang w:val="en-US"/>
              </w:rPr>
              <w:instrText>ADDIN CSL_CITATION { "citationItems" : [ { "id" : "ITEM-1", "itemData" : { "ISBN" : "9514269934", "author" : [ { "dropping-particle" : "", "family" : "Panula", "given" : "K", "non-dropping-particle" : "", "parse-names" : false, "suffix" : "" } ], "id" : "ITEM-1", "issued" : { "date-parts" : [ [ "2003" ] ] }, "title" : "Correction of Dentofacial Deformities with Orthognathic Surgery", "type" : "book" }, "uris" : [ "http://www.mendeley.com/documents/?uuid=0533f7b7-ef32-4bcd-85ae-db88ca9b9ac1" ] } ], "mendeley" : { "formattedCitation" : "[25]", "plainTextFormattedCitation" : "[25]", "previouslyFormattedCitation" : "[25]" }, "properties" : { "noteIndex" : 0 }, "schema" : "https://github.com/citation-style-language/schema/raw/master/csl-citation.json" }</w:instrText>
            </w:r>
            <w:r w:rsidRPr="00847A38">
              <w:rPr>
                <w:lang w:val="en-US"/>
              </w:rPr>
              <w:fldChar w:fldCharType="separate"/>
            </w:r>
            <w:r w:rsidR="00847A38" w:rsidRPr="00847A38">
              <w:rPr>
                <w:noProof/>
                <w:lang w:val="en-US"/>
              </w:rPr>
              <w:t>[25]</w:t>
            </w:r>
            <w:r w:rsidRPr="00847A38">
              <w:rPr>
                <w:lang w:val="en-US"/>
              </w:rPr>
              <w:fldChar w:fldCharType="end"/>
            </w:r>
          </w:p>
        </w:tc>
        <w:tc>
          <w:tcPr>
            <w:tcW w:w="378" w:type="pct"/>
          </w:tcPr>
          <w:p w14:paraId="69675701" w14:textId="6C1D2052" w:rsidR="00A21092" w:rsidRPr="00847A38" w:rsidRDefault="00A21092" w:rsidP="008E3EE8">
            <w:pPr>
              <w:pStyle w:val="Normalweb"/>
              <w:rPr>
                <w:lang w:val="en-US"/>
              </w:rPr>
            </w:pPr>
            <w:r w:rsidRPr="00847A38">
              <w:rPr>
                <w:lang w:val="en-US"/>
              </w:rPr>
              <w:t>2001</w:t>
            </w:r>
          </w:p>
        </w:tc>
        <w:tc>
          <w:tcPr>
            <w:tcW w:w="318" w:type="pct"/>
          </w:tcPr>
          <w:p w14:paraId="3522969B" w14:textId="1D053709" w:rsidR="00A21092" w:rsidRPr="00847A38" w:rsidRDefault="00A21092" w:rsidP="008E3EE8">
            <w:pPr>
              <w:pStyle w:val="Normalweb"/>
              <w:rPr>
                <w:lang w:val="en-US"/>
              </w:rPr>
            </w:pPr>
            <w:r w:rsidRPr="00847A38">
              <w:rPr>
                <w:lang w:val="en-US"/>
              </w:rPr>
              <w:t>655</w:t>
            </w:r>
          </w:p>
        </w:tc>
        <w:tc>
          <w:tcPr>
            <w:tcW w:w="354" w:type="pct"/>
          </w:tcPr>
          <w:p w14:paraId="5BFA8FBB" w14:textId="7A3120B8" w:rsidR="00A21092" w:rsidRPr="00847A38" w:rsidRDefault="00A21092" w:rsidP="008E3EE8">
            <w:pPr>
              <w:pStyle w:val="Normalweb"/>
              <w:rPr>
                <w:lang w:val="en-US"/>
              </w:rPr>
            </w:pPr>
            <w:r w:rsidRPr="00847A38">
              <w:rPr>
                <w:lang w:val="en-US"/>
              </w:rPr>
              <w:t>*146</w:t>
            </w:r>
          </w:p>
        </w:tc>
        <w:tc>
          <w:tcPr>
            <w:tcW w:w="349" w:type="pct"/>
          </w:tcPr>
          <w:p w14:paraId="35640A15" w14:textId="4F6A2004" w:rsidR="00A21092" w:rsidRPr="00847A38" w:rsidRDefault="00A21092" w:rsidP="008E3EE8">
            <w:pPr>
              <w:pStyle w:val="Normalweb"/>
              <w:rPr>
                <w:lang w:val="en-US"/>
              </w:rPr>
            </w:pPr>
            <w:r w:rsidRPr="00847A38">
              <w:rPr>
                <w:lang w:val="en-US"/>
              </w:rPr>
              <w:t>612</w:t>
            </w:r>
          </w:p>
        </w:tc>
        <w:tc>
          <w:tcPr>
            <w:tcW w:w="349" w:type="pct"/>
          </w:tcPr>
          <w:p w14:paraId="3EAEE27E" w14:textId="3B6539B8" w:rsidR="00A21092" w:rsidRPr="00847A38" w:rsidRDefault="00A21092" w:rsidP="008E3EE8">
            <w:pPr>
              <w:pStyle w:val="Normalweb"/>
              <w:rPr>
                <w:lang w:val="en-US"/>
              </w:rPr>
            </w:pPr>
            <w:r w:rsidRPr="00847A38">
              <w:rPr>
                <w:lang w:val="en-US"/>
              </w:rPr>
              <w:t>4</w:t>
            </w:r>
          </w:p>
        </w:tc>
        <w:tc>
          <w:tcPr>
            <w:tcW w:w="393" w:type="pct"/>
          </w:tcPr>
          <w:p w14:paraId="3C570BBB" w14:textId="31051C95" w:rsidR="00A21092" w:rsidRPr="00847A38" w:rsidRDefault="00A21092" w:rsidP="008E3EE8">
            <w:pPr>
              <w:pStyle w:val="Normalweb"/>
              <w:rPr>
                <w:lang w:val="en-US"/>
              </w:rPr>
            </w:pPr>
            <w:r w:rsidRPr="00847A38">
              <w:rPr>
                <w:lang w:val="en-US"/>
              </w:rPr>
              <w:t>35</w:t>
            </w:r>
          </w:p>
        </w:tc>
        <w:tc>
          <w:tcPr>
            <w:tcW w:w="393" w:type="pct"/>
          </w:tcPr>
          <w:p w14:paraId="371F8612" w14:textId="74105120" w:rsidR="00A21092" w:rsidRPr="00847A38" w:rsidRDefault="00A21092" w:rsidP="008E3EE8">
            <w:pPr>
              <w:pStyle w:val="Normalweb"/>
              <w:rPr>
                <w:lang w:val="en-US"/>
              </w:rPr>
            </w:pPr>
            <w:r w:rsidRPr="00847A38">
              <w:rPr>
                <w:lang w:val="en-US"/>
              </w:rPr>
              <w:t>29</w:t>
            </w:r>
          </w:p>
        </w:tc>
        <w:tc>
          <w:tcPr>
            <w:tcW w:w="375" w:type="pct"/>
          </w:tcPr>
          <w:p w14:paraId="763F3247" w14:textId="6637A5FB" w:rsidR="00A21092" w:rsidRPr="00847A38" w:rsidRDefault="00A21092" w:rsidP="008E3EE8">
            <w:pPr>
              <w:pStyle w:val="Normalweb"/>
              <w:rPr>
                <w:lang w:val="en-US"/>
              </w:rPr>
            </w:pPr>
            <w:r w:rsidRPr="00847A38">
              <w:rPr>
                <w:lang w:val="en-US"/>
              </w:rPr>
              <w:t>Unknown</w:t>
            </w:r>
          </w:p>
        </w:tc>
        <w:tc>
          <w:tcPr>
            <w:tcW w:w="343" w:type="pct"/>
          </w:tcPr>
          <w:p w14:paraId="194949B3" w14:textId="3FCD0AAB" w:rsidR="00A21092" w:rsidRPr="00847A38" w:rsidRDefault="00A21092" w:rsidP="008E3EE8">
            <w:pPr>
              <w:pStyle w:val="Normalweb"/>
              <w:rPr>
                <w:lang w:val="en-US"/>
              </w:rPr>
            </w:pPr>
            <w:r w:rsidRPr="00847A38">
              <w:rPr>
                <w:lang w:val="en-US"/>
              </w:rPr>
              <w:t>11</w:t>
            </w:r>
          </w:p>
        </w:tc>
        <w:tc>
          <w:tcPr>
            <w:tcW w:w="329" w:type="pct"/>
          </w:tcPr>
          <w:p w14:paraId="3EE81FA9" w14:textId="1BEB04C4" w:rsidR="00A21092" w:rsidRPr="00847A38" w:rsidRDefault="00A21092" w:rsidP="008E3EE8">
            <w:pPr>
              <w:pStyle w:val="Normalweb"/>
              <w:rPr>
                <w:lang w:val="en-US"/>
              </w:rPr>
            </w:pPr>
            <w:r w:rsidRPr="00847A38">
              <w:rPr>
                <w:lang w:val="en-US"/>
              </w:rPr>
              <w:t>11</w:t>
            </w:r>
          </w:p>
        </w:tc>
        <w:tc>
          <w:tcPr>
            <w:tcW w:w="373" w:type="pct"/>
          </w:tcPr>
          <w:p w14:paraId="1A7A4E27" w14:textId="4A2838E1" w:rsidR="00A21092" w:rsidRPr="00847A38" w:rsidRDefault="00A21092" w:rsidP="008E3EE8">
            <w:pPr>
              <w:pStyle w:val="Normalweb"/>
              <w:rPr>
                <w:lang w:val="en-US"/>
              </w:rPr>
            </w:pPr>
            <w:r w:rsidRPr="00847A38">
              <w:rPr>
                <w:lang w:val="en-US"/>
              </w:rPr>
              <w:t>Unknown</w:t>
            </w:r>
          </w:p>
        </w:tc>
        <w:tc>
          <w:tcPr>
            <w:tcW w:w="372" w:type="pct"/>
          </w:tcPr>
          <w:p w14:paraId="2CD9347E" w14:textId="324DBCAB" w:rsidR="00A21092" w:rsidRPr="00847A38" w:rsidRDefault="00A21092" w:rsidP="008E3EE8">
            <w:pPr>
              <w:pStyle w:val="Normalweb"/>
              <w:rPr>
                <w:lang w:val="en-US"/>
              </w:rPr>
            </w:pPr>
            <w:r w:rsidRPr="00847A38">
              <w:rPr>
                <w:lang w:val="en-US"/>
              </w:rPr>
              <w:t>Unknown</w:t>
            </w:r>
          </w:p>
        </w:tc>
        <w:tc>
          <w:tcPr>
            <w:tcW w:w="372" w:type="pct"/>
          </w:tcPr>
          <w:p w14:paraId="331C1777" w14:textId="29DA0AB3" w:rsidR="00A21092" w:rsidRPr="00847A38" w:rsidRDefault="00A21092" w:rsidP="008E3EE8">
            <w:pPr>
              <w:pStyle w:val="Normalweb"/>
              <w:rPr>
                <w:lang w:val="en-US"/>
              </w:rPr>
            </w:pPr>
            <w:r w:rsidRPr="00847A38">
              <w:rPr>
                <w:lang w:val="en-US"/>
              </w:rPr>
              <w:t>120 (mean 1.2 years)</w:t>
            </w:r>
          </w:p>
        </w:tc>
      </w:tr>
      <w:tr w:rsidR="00A21092" w:rsidRPr="00847A38" w14:paraId="7E213C9B" w14:textId="57BCFBE8" w:rsidTr="00A21092">
        <w:trPr>
          <w:divId w:val="1173568863"/>
        </w:trPr>
        <w:tc>
          <w:tcPr>
            <w:tcW w:w="302" w:type="pct"/>
          </w:tcPr>
          <w:p w14:paraId="4FDEE7AE" w14:textId="7C21531E" w:rsidR="00A21092" w:rsidRPr="00847A38" w:rsidRDefault="00A21092" w:rsidP="00555A40">
            <w:pPr>
              <w:pStyle w:val="Normalweb"/>
              <w:rPr>
                <w:lang w:val="en-US"/>
              </w:rPr>
            </w:pPr>
            <w:r w:rsidRPr="00847A38">
              <w:rPr>
                <w:lang w:val="en-US"/>
              </w:rPr>
              <w:t>Chow et al.</w:t>
            </w:r>
            <w:r w:rsidRPr="00847A38">
              <w:rPr>
                <w:lang w:val="en-US"/>
              </w:rPr>
              <w:fldChar w:fldCharType="begin" w:fldLock="1"/>
            </w:r>
            <w:r w:rsidR="00847A38" w:rsidRPr="00847A38">
              <w:rPr>
                <w:lang w:val="en-US"/>
              </w:rPr>
              <w:instrText>ADDIN CSL_CITATION { "citationItems" : [ { "id" : "ITEM-1", "itemData" : { "DOI" : "10.1016/j.joms.2006.07.006", "ISSN" : "0278-2391", "PMID" : "17448852", "abstract" : "PURPOSE: This study was conducted to determine the prevalence of postoperative complications after orthognathic surgery and evaluate the use of antibiotic prophylaxis in relation to the infection rate.\n\nPATIENTS AND METHODS: All patients undergoing orthognathic procedures between 1990 and 2004 were studied retrospectively by retrieving their individual medical records. Demographic data, intraoperative data (specific orthognathic procedures and duration of operation), and postoperative data (type and duration of antibiotic prophylaxis and presence of postoperative complications) were recorded. Patients noted to have suffered any postoperative complications were studied in detail, and various factors, including gender, age, duration of operation, and use of prophylactic antibiotics, were analyzed using statistical tests in relation to postoperative infection.\n\nRESULTS: A total of 2,910 orthognathic procedures were performed on 1,294 consecutive patients in the 15-year period, with 1,070 patients undergoing bimaxillary procedures and 224 patients undergoing single-jaw surgery. The orthognathic surgery-related complication rate was 9.7%, of which 7.4% was related to postoperative infection. Of the cases of infection, 58.3% were acute infection and 41.7% were chronic infection. Patients who received a single preoperative dose of antibiotics had a significantly higher infection rate (17.3%) than those who received postoperative antibiotics for various durations.\n\nCONCLUSIONS: The prevalence of infection after orthognathic surgery was relatively low given the complexity of the procedures. No particular orthognathic procedure was more susceptible to infection. A preoperative dose of prophylactic antibiotics together with at least 2 days of postoperative doses was useful in reducing the infection rate compared with only a single dose of prophylactic antibiotics.", "author" : [ { "dropping-particle" : "", "family" : "Chow", "given" : "Lop Keung", "non-dropping-particle" : "", "parse-names" : false, "suffix" : "" }, { "dropping-particle" : "", "family" : "Singh", "given" : "Baldev", "non-dropping-particle" : "", "parse-names" : false, "suffix" : "" }, { "dropping-particle" : "", "family" : "Chiu", "given" : "Wai Kuen", "non-dropping-particle" : "", "parse-names" : false, "suffix" : "" }, { "dropping-particle" : "", "family" : "Samman", "given" : "Nabil", "non-dropping-particle" : "", "parse-names" : false, "suffix" : "" } ], "container-title" : "Journal of oral and maxillofacial surgery : official journal of the American Association of Oral and Maxillofacial Surgeons", "id" : "ITEM-1", "issue" : "5", "issued" : { "date-parts" : [ [ "2007", "5" ] ] }, "page" : "984-92", "title" : "Prevalence of postoperative complications after orthognathic surgery: a 15-year review.", "type" : "article-journal", "volume" : "65" }, "uris" : [ "http://www.mendeley.com/documents/?uuid=c73288e5-47fa-46ed-85fd-452e619f0b50" ] } ], "mendeley" : { "formattedCitation" : "[26]", "plainTextFormattedCitation" : "[26]", "previouslyFormattedCitation" : "[26]" }, "properties" : { "noteIndex" : 0 }, "schema" : "https://github.com/citation-style-language/schema/raw/master/csl-citation.json" }</w:instrText>
            </w:r>
            <w:r w:rsidRPr="00847A38">
              <w:rPr>
                <w:lang w:val="en-US"/>
              </w:rPr>
              <w:fldChar w:fldCharType="separate"/>
            </w:r>
            <w:r w:rsidR="00847A38" w:rsidRPr="00847A38">
              <w:rPr>
                <w:noProof/>
                <w:lang w:val="en-US"/>
              </w:rPr>
              <w:t>[26]</w:t>
            </w:r>
            <w:r w:rsidRPr="00847A38">
              <w:rPr>
                <w:lang w:val="en-US"/>
              </w:rPr>
              <w:fldChar w:fldCharType="end"/>
            </w:r>
          </w:p>
        </w:tc>
        <w:tc>
          <w:tcPr>
            <w:tcW w:w="378" w:type="pct"/>
          </w:tcPr>
          <w:p w14:paraId="5902A850" w14:textId="4FF30449" w:rsidR="00A21092" w:rsidRPr="00847A38" w:rsidRDefault="00A21092" w:rsidP="008E3EE8">
            <w:pPr>
              <w:pStyle w:val="Normalweb"/>
              <w:rPr>
                <w:lang w:val="en-US"/>
              </w:rPr>
            </w:pPr>
            <w:r w:rsidRPr="00847A38">
              <w:rPr>
                <w:lang w:val="en-US"/>
              </w:rPr>
              <w:t>2007</w:t>
            </w:r>
          </w:p>
        </w:tc>
        <w:tc>
          <w:tcPr>
            <w:tcW w:w="318" w:type="pct"/>
          </w:tcPr>
          <w:p w14:paraId="356AE371" w14:textId="6A7DFE3F" w:rsidR="00A21092" w:rsidRPr="00847A38" w:rsidRDefault="00A21092" w:rsidP="009E5824">
            <w:pPr>
              <w:pStyle w:val="Normalweb"/>
              <w:rPr>
                <w:lang w:val="en-US"/>
              </w:rPr>
            </w:pPr>
            <w:r w:rsidRPr="00847A38">
              <w:rPr>
                <w:lang w:val="en-US"/>
              </w:rPr>
              <w:t xml:space="preserve">1294 </w:t>
            </w:r>
          </w:p>
        </w:tc>
        <w:tc>
          <w:tcPr>
            <w:tcW w:w="354" w:type="pct"/>
          </w:tcPr>
          <w:p w14:paraId="70115497" w14:textId="111E4426" w:rsidR="00A21092" w:rsidRPr="00847A38" w:rsidRDefault="00A21092" w:rsidP="00863641">
            <w:pPr>
              <w:pStyle w:val="Normalweb"/>
              <w:rPr>
                <w:lang w:val="en-US"/>
              </w:rPr>
            </w:pPr>
            <w:r w:rsidRPr="00847A38">
              <w:rPr>
                <w:lang w:val="en-US"/>
              </w:rPr>
              <w:t xml:space="preserve">*1,174 </w:t>
            </w:r>
          </w:p>
        </w:tc>
        <w:tc>
          <w:tcPr>
            <w:tcW w:w="349" w:type="pct"/>
          </w:tcPr>
          <w:p w14:paraId="0A3DE6B9" w14:textId="473C77C1" w:rsidR="00A21092" w:rsidRPr="00847A38" w:rsidRDefault="00A21092" w:rsidP="008E3EE8">
            <w:pPr>
              <w:pStyle w:val="Normalweb"/>
              <w:rPr>
                <w:lang w:val="en-US"/>
              </w:rPr>
            </w:pPr>
            <w:r w:rsidRPr="00847A38">
              <w:rPr>
                <w:lang w:val="en-US"/>
              </w:rPr>
              <w:t>1,736</w:t>
            </w:r>
          </w:p>
        </w:tc>
        <w:tc>
          <w:tcPr>
            <w:tcW w:w="349" w:type="pct"/>
          </w:tcPr>
          <w:p w14:paraId="1B7D31E5" w14:textId="59E390FC" w:rsidR="00A21092" w:rsidRPr="00847A38" w:rsidRDefault="00A21092" w:rsidP="008E3EE8">
            <w:pPr>
              <w:pStyle w:val="Normalweb"/>
              <w:rPr>
                <w:lang w:val="en-US"/>
              </w:rPr>
            </w:pPr>
            <w:r w:rsidRPr="00847A38">
              <w:rPr>
                <w:lang w:val="en-US"/>
              </w:rPr>
              <w:t>7</w:t>
            </w:r>
          </w:p>
        </w:tc>
        <w:tc>
          <w:tcPr>
            <w:tcW w:w="393" w:type="pct"/>
          </w:tcPr>
          <w:p w14:paraId="617D5025" w14:textId="14204077" w:rsidR="00A21092" w:rsidRPr="00847A38" w:rsidRDefault="00A21092" w:rsidP="008E3EE8">
            <w:pPr>
              <w:pStyle w:val="Normalweb"/>
              <w:rPr>
                <w:lang w:val="en-US"/>
              </w:rPr>
            </w:pPr>
            <w:r w:rsidRPr="00847A38">
              <w:rPr>
                <w:lang w:val="en-US"/>
              </w:rPr>
              <w:t>Unknown</w:t>
            </w:r>
          </w:p>
        </w:tc>
        <w:tc>
          <w:tcPr>
            <w:tcW w:w="393" w:type="pct"/>
          </w:tcPr>
          <w:p w14:paraId="474E405E" w14:textId="0A8C6361" w:rsidR="00A21092" w:rsidRPr="00847A38" w:rsidRDefault="00A21092" w:rsidP="008E3EE8">
            <w:pPr>
              <w:pStyle w:val="Normalweb"/>
              <w:rPr>
                <w:lang w:val="en-US"/>
              </w:rPr>
            </w:pPr>
            <w:r w:rsidRPr="00847A38">
              <w:rPr>
                <w:lang w:val="en-US"/>
              </w:rPr>
              <w:t>Unknown</w:t>
            </w:r>
          </w:p>
        </w:tc>
        <w:tc>
          <w:tcPr>
            <w:tcW w:w="375" w:type="pct"/>
          </w:tcPr>
          <w:p w14:paraId="421C060A" w14:textId="490687FF" w:rsidR="00A21092" w:rsidRPr="00847A38" w:rsidRDefault="00A21092" w:rsidP="008E3EE8">
            <w:pPr>
              <w:pStyle w:val="Normalweb"/>
              <w:rPr>
                <w:lang w:val="en-US"/>
              </w:rPr>
            </w:pPr>
            <w:r w:rsidRPr="00847A38">
              <w:rPr>
                <w:lang w:val="en-US"/>
              </w:rPr>
              <w:t>Unknown</w:t>
            </w:r>
          </w:p>
        </w:tc>
        <w:tc>
          <w:tcPr>
            <w:tcW w:w="343" w:type="pct"/>
          </w:tcPr>
          <w:p w14:paraId="46869ABA" w14:textId="73DC51B6" w:rsidR="00A21092" w:rsidRPr="00847A38" w:rsidRDefault="00A21092" w:rsidP="008E3EE8">
            <w:pPr>
              <w:pStyle w:val="Normalweb"/>
              <w:rPr>
                <w:lang w:val="en-US"/>
              </w:rPr>
            </w:pPr>
            <w:r w:rsidRPr="00847A38">
              <w:rPr>
                <w:lang w:val="en-US"/>
              </w:rPr>
              <w:t>Unknown</w:t>
            </w:r>
          </w:p>
        </w:tc>
        <w:tc>
          <w:tcPr>
            <w:tcW w:w="329" w:type="pct"/>
          </w:tcPr>
          <w:p w14:paraId="0771F7B7" w14:textId="27AA433E" w:rsidR="00A21092" w:rsidRPr="00847A38" w:rsidRDefault="00A21092" w:rsidP="008E3EE8">
            <w:pPr>
              <w:pStyle w:val="Normalweb"/>
              <w:rPr>
                <w:lang w:val="en-US"/>
              </w:rPr>
            </w:pPr>
            <w:r w:rsidRPr="00847A38">
              <w:rPr>
                <w:lang w:val="en-US"/>
              </w:rPr>
              <w:t>Unknown</w:t>
            </w:r>
          </w:p>
        </w:tc>
        <w:tc>
          <w:tcPr>
            <w:tcW w:w="373" w:type="pct"/>
          </w:tcPr>
          <w:p w14:paraId="7C462466" w14:textId="70CB29D1" w:rsidR="00A21092" w:rsidRPr="00847A38" w:rsidRDefault="00A21092" w:rsidP="008E3EE8">
            <w:pPr>
              <w:pStyle w:val="Normalweb"/>
              <w:rPr>
                <w:lang w:val="en-US"/>
              </w:rPr>
            </w:pPr>
            <w:r w:rsidRPr="00847A38">
              <w:rPr>
                <w:lang w:val="en-US"/>
              </w:rPr>
              <w:t>Unknown</w:t>
            </w:r>
          </w:p>
        </w:tc>
        <w:tc>
          <w:tcPr>
            <w:tcW w:w="372" w:type="pct"/>
          </w:tcPr>
          <w:p w14:paraId="087DC5AB" w14:textId="6B4BB0E7" w:rsidR="00A21092" w:rsidRPr="00847A38" w:rsidRDefault="00A21092" w:rsidP="008E3EE8">
            <w:pPr>
              <w:pStyle w:val="Normalweb"/>
              <w:rPr>
                <w:lang w:val="en-US"/>
              </w:rPr>
            </w:pPr>
            <w:r w:rsidRPr="00847A38">
              <w:rPr>
                <w:lang w:val="en-US"/>
              </w:rPr>
              <w:t>Unknown</w:t>
            </w:r>
          </w:p>
        </w:tc>
        <w:tc>
          <w:tcPr>
            <w:tcW w:w="372" w:type="pct"/>
          </w:tcPr>
          <w:p w14:paraId="0818DEA8" w14:textId="23BF99D8" w:rsidR="00A21092" w:rsidRPr="00847A38" w:rsidRDefault="00A21092" w:rsidP="008E3EE8">
            <w:pPr>
              <w:pStyle w:val="Normalweb"/>
              <w:rPr>
                <w:lang w:val="en-US"/>
              </w:rPr>
            </w:pPr>
            <w:r w:rsidRPr="00847A38">
              <w:rPr>
                <w:lang w:val="en-US"/>
              </w:rPr>
              <w:t>&gt; 94</w:t>
            </w:r>
          </w:p>
        </w:tc>
      </w:tr>
      <w:tr w:rsidR="00A21092" w:rsidRPr="00847A38" w14:paraId="1BE25308" w14:textId="3D2291AC" w:rsidTr="00A21092">
        <w:trPr>
          <w:divId w:val="1173568863"/>
        </w:trPr>
        <w:tc>
          <w:tcPr>
            <w:tcW w:w="302" w:type="pct"/>
          </w:tcPr>
          <w:p w14:paraId="5C1F0131" w14:textId="093A13EF" w:rsidR="00A21092" w:rsidRPr="00847A38" w:rsidRDefault="00A21092" w:rsidP="00555A40">
            <w:pPr>
              <w:pStyle w:val="Normalweb"/>
              <w:rPr>
                <w:lang w:val="en-US"/>
              </w:rPr>
            </w:pPr>
            <w:r w:rsidRPr="00847A38">
              <w:rPr>
                <w:lang w:val="en-US"/>
              </w:rPr>
              <w:t>Kim et al.</w:t>
            </w:r>
            <w:r w:rsidRPr="00847A38">
              <w:rPr>
                <w:lang w:val="en-US"/>
              </w:rPr>
              <w:fldChar w:fldCharType="begin" w:fldLock="1"/>
            </w:r>
            <w:r w:rsidR="00847A38" w:rsidRPr="00847A38">
              <w:rPr>
                <w:lang w:val="en-US"/>
              </w:rPr>
              <w:instrText>ADDIN CSL_CITATION { "citationItems" : [ { "id" : "ITEM-1", "itemData" : { "DOI" : "10.1016/j.joms.2007.05.030", "ISSN" : "1531-5053", "PMID" : "18022466", "abstract" : "PURPOSE: This retrospective report evaluates the incidence of intra- and postoperative complications of orthognathic surgery and their relevance.\n\nPATIENTS AND METHODS: The clinical records and radiographs of 301 patients who underwent surgery at Chosun University Dental Hospital, Korea, over an 8-year period between 1998 and 2005 were examined.\n\nRESULTS: The most common complication was a neurosensory deficit in the region innervated by the inferior alveolar nerve. The most serious complication was severe intraoperative bleeding. No complication was fatal.\n\nCONCLUSIONS: Despite the great variety of severe complications reported, their frequency seems to be extremely low. Orthognathic surgery appears to be a safe procedure.", "author" : [ { "dropping-particle" : "", "family" : "Kim", "given" : "Su-Gwan", "non-dropping-particle" : "", "parse-names" : false, "suffix" : "" }, { "dropping-particle" : "", "family" : "Park", "given" : "Sun-Sik", "non-dropping-particle" : "", "parse-names" : false, "suffix" : "" } ], "container-title" : "Journal of oral and maxillofacial surgery : official journal of the American Association of Oral and Maxillofacial Surgeons", "id" : "ITEM-1", "issue" : "12", "issued" : { "date-parts" : [ [ "2007", "12" ] ] }, "page" : "2438-44", "title" : "Incidence of complications and problems related to orthognathic surgery.", "type" : "article-journal", "volume" : "65" }, "uris" : [ "http://www.mendeley.com/documents/?uuid=b8c4838f-b48d-4dd7-a654-e211cc1d7edb" ] } ], "mendeley" : { "formattedCitation" : "[27]", "plainTextFormattedCitation" : "[27]", "previouslyFormattedCitation" : "[27]" }, "properties" : { "noteIndex" : 0 }, "schema" : "https://github.com/citation-style-language/schema/raw/master/csl-citation.json" }</w:instrText>
            </w:r>
            <w:r w:rsidRPr="00847A38">
              <w:rPr>
                <w:lang w:val="en-US"/>
              </w:rPr>
              <w:fldChar w:fldCharType="separate"/>
            </w:r>
            <w:r w:rsidR="00847A38" w:rsidRPr="00847A38">
              <w:rPr>
                <w:noProof/>
                <w:lang w:val="en-US"/>
              </w:rPr>
              <w:t>[27]</w:t>
            </w:r>
            <w:r w:rsidRPr="00847A38">
              <w:rPr>
                <w:lang w:val="en-US"/>
              </w:rPr>
              <w:fldChar w:fldCharType="end"/>
            </w:r>
          </w:p>
        </w:tc>
        <w:tc>
          <w:tcPr>
            <w:tcW w:w="378" w:type="pct"/>
          </w:tcPr>
          <w:p w14:paraId="54D4CD0E" w14:textId="7C63E191" w:rsidR="00A21092" w:rsidRPr="00847A38" w:rsidRDefault="00A21092" w:rsidP="008E3EE8">
            <w:pPr>
              <w:pStyle w:val="Normalweb"/>
              <w:rPr>
                <w:lang w:val="en-US"/>
              </w:rPr>
            </w:pPr>
            <w:r w:rsidRPr="00847A38">
              <w:rPr>
                <w:lang w:val="en-US"/>
              </w:rPr>
              <w:t>2007</w:t>
            </w:r>
          </w:p>
        </w:tc>
        <w:tc>
          <w:tcPr>
            <w:tcW w:w="318" w:type="pct"/>
          </w:tcPr>
          <w:p w14:paraId="2C7D8A72" w14:textId="1ED17FBF" w:rsidR="00A21092" w:rsidRPr="00847A38" w:rsidRDefault="00A21092" w:rsidP="008E3EE8">
            <w:pPr>
              <w:pStyle w:val="Normalweb"/>
              <w:rPr>
                <w:lang w:val="en-US"/>
              </w:rPr>
            </w:pPr>
            <w:r w:rsidRPr="00847A38">
              <w:rPr>
                <w:lang w:val="en-US"/>
              </w:rPr>
              <w:t>301</w:t>
            </w:r>
          </w:p>
        </w:tc>
        <w:tc>
          <w:tcPr>
            <w:tcW w:w="354" w:type="pct"/>
          </w:tcPr>
          <w:p w14:paraId="30E81746" w14:textId="3073D410" w:rsidR="00A21092" w:rsidRPr="00847A38" w:rsidRDefault="00A21092" w:rsidP="00863641">
            <w:pPr>
              <w:pStyle w:val="Normalweb"/>
              <w:rPr>
                <w:lang w:val="en-US"/>
              </w:rPr>
            </w:pPr>
            <w:r w:rsidRPr="00847A38">
              <w:rPr>
                <w:lang w:val="en-US"/>
              </w:rPr>
              <w:t xml:space="preserve">*78 </w:t>
            </w:r>
          </w:p>
        </w:tc>
        <w:tc>
          <w:tcPr>
            <w:tcW w:w="349" w:type="pct"/>
          </w:tcPr>
          <w:p w14:paraId="4E183656" w14:textId="4A0ECC7D" w:rsidR="00A21092" w:rsidRPr="00847A38" w:rsidRDefault="00A21092" w:rsidP="008E3EE8">
            <w:pPr>
              <w:pStyle w:val="Normalweb"/>
              <w:rPr>
                <w:lang w:val="en-US"/>
              </w:rPr>
            </w:pPr>
            <w:r w:rsidRPr="00847A38">
              <w:rPr>
                <w:lang w:val="en-US"/>
              </w:rPr>
              <w:t xml:space="preserve">252 </w:t>
            </w:r>
          </w:p>
        </w:tc>
        <w:tc>
          <w:tcPr>
            <w:tcW w:w="349" w:type="pct"/>
          </w:tcPr>
          <w:p w14:paraId="07BB79C1" w14:textId="49BAFFB7" w:rsidR="00A21092" w:rsidRPr="00847A38" w:rsidRDefault="00A21092" w:rsidP="008E3EE8">
            <w:pPr>
              <w:pStyle w:val="Normalweb"/>
              <w:rPr>
                <w:lang w:val="en-US"/>
              </w:rPr>
            </w:pPr>
            <w:r w:rsidRPr="00847A38">
              <w:rPr>
                <w:lang w:val="en-US"/>
              </w:rPr>
              <w:t>Unknown</w:t>
            </w:r>
          </w:p>
        </w:tc>
        <w:tc>
          <w:tcPr>
            <w:tcW w:w="393" w:type="pct"/>
          </w:tcPr>
          <w:p w14:paraId="6D93C1AB" w14:textId="4948DF0F" w:rsidR="00A21092" w:rsidRPr="00847A38" w:rsidRDefault="00A21092" w:rsidP="008E3EE8">
            <w:pPr>
              <w:pStyle w:val="Normalweb"/>
              <w:rPr>
                <w:lang w:val="en-US"/>
              </w:rPr>
            </w:pPr>
            <w:r w:rsidRPr="00847A38">
              <w:rPr>
                <w:lang w:val="en-US"/>
              </w:rPr>
              <w:t>65 (N=196)</w:t>
            </w:r>
          </w:p>
        </w:tc>
        <w:tc>
          <w:tcPr>
            <w:tcW w:w="393" w:type="pct"/>
          </w:tcPr>
          <w:p w14:paraId="72AA8B29" w14:textId="318B0F14" w:rsidR="00A21092" w:rsidRPr="00847A38" w:rsidRDefault="00A21092" w:rsidP="008E3EE8">
            <w:pPr>
              <w:pStyle w:val="Normalweb"/>
              <w:rPr>
                <w:lang w:val="en-US"/>
              </w:rPr>
            </w:pPr>
            <w:r w:rsidRPr="00847A38">
              <w:rPr>
                <w:lang w:val="en-US"/>
              </w:rPr>
              <w:t>Unknown</w:t>
            </w:r>
          </w:p>
        </w:tc>
        <w:tc>
          <w:tcPr>
            <w:tcW w:w="375" w:type="pct"/>
          </w:tcPr>
          <w:p w14:paraId="23337C0B" w14:textId="63C5AD02" w:rsidR="00A21092" w:rsidRPr="00847A38" w:rsidRDefault="00A21092" w:rsidP="008E3EE8">
            <w:pPr>
              <w:pStyle w:val="Normalweb"/>
              <w:rPr>
                <w:lang w:val="en-US"/>
              </w:rPr>
            </w:pPr>
            <w:r w:rsidRPr="00847A38">
              <w:rPr>
                <w:lang w:val="en-US"/>
              </w:rPr>
              <w:t>Unknown</w:t>
            </w:r>
          </w:p>
        </w:tc>
        <w:tc>
          <w:tcPr>
            <w:tcW w:w="343" w:type="pct"/>
          </w:tcPr>
          <w:p w14:paraId="2C39F03D" w14:textId="18BE9E25" w:rsidR="00A21092" w:rsidRPr="00847A38" w:rsidRDefault="00A21092" w:rsidP="008E3EE8">
            <w:pPr>
              <w:pStyle w:val="Normalweb"/>
              <w:rPr>
                <w:lang w:val="en-US"/>
              </w:rPr>
            </w:pPr>
            <w:r w:rsidRPr="00847A38">
              <w:rPr>
                <w:lang w:val="en-US"/>
              </w:rPr>
              <w:t>Unknown</w:t>
            </w:r>
          </w:p>
        </w:tc>
        <w:tc>
          <w:tcPr>
            <w:tcW w:w="329" w:type="pct"/>
          </w:tcPr>
          <w:p w14:paraId="2F9418F0" w14:textId="579C0D7F" w:rsidR="00A21092" w:rsidRPr="00847A38" w:rsidRDefault="00A21092" w:rsidP="008E3EE8">
            <w:pPr>
              <w:pStyle w:val="Normalweb"/>
              <w:rPr>
                <w:lang w:val="en-US"/>
              </w:rPr>
            </w:pPr>
            <w:r w:rsidRPr="00847A38">
              <w:rPr>
                <w:lang w:val="en-US"/>
              </w:rPr>
              <w:t>Unknown</w:t>
            </w:r>
          </w:p>
        </w:tc>
        <w:tc>
          <w:tcPr>
            <w:tcW w:w="373" w:type="pct"/>
          </w:tcPr>
          <w:p w14:paraId="5E5544AC" w14:textId="03482E01" w:rsidR="00A21092" w:rsidRPr="00847A38" w:rsidRDefault="00A21092" w:rsidP="008E3EE8">
            <w:pPr>
              <w:pStyle w:val="Normalweb"/>
              <w:rPr>
                <w:lang w:val="en-US"/>
              </w:rPr>
            </w:pPr>
            <w:r w:rsidRPr="00847A38">
              <w:rPr>
                <w:lang w:val="en-US"/>
              </w:rPr>
              <w:t>20 (n=63)</w:t>
            </w:r>
          </w:p>
        </w:tc>
        <w:tc>
          <w:tcPr>
            <w:tcW w:w="372" w:type="pct"/>
          </w:tcPr>
          <w:p w14:paraId="2A10E20E" w14:textId="659A9E95" w:rsidR="00A21092" w:rsidRPr="00847A38" w:rsidRDefault="00A21092" w:rsidP="008E3EE8">
            <w:pPr>
              <w:pStyle w:val="Normalweb"/>
              <w:rPr>
                <w:lang w:val="en-US"/>
              </w:rPr>
            </w:pPr>
            <w:r w:rsidRPr="00847A38">
              <w:rPr>
                <w:lang w:val="en-US"/>
              </w:rPr>
              <w:t>9 (n=26)</w:t>
            </w:r>
          </w:p>
        </w:tc>
        <w:tc>
          <w:tcPr>
            <w:tcW w:w="372" w:type="pct"/>
          </w:tcPr>
          <w:p w14:paraId="723B47A0" w14:textId="00C55B69" w:rsidR="00A21092" w:rsidRPr="00847A38" w:rsidRDefault="00A21092" w:rsidP="008E3EE8">
            <w:pPr>
              <w:pStyle w:val="Normalweb"/>
              <w:rPr>
                <w:lang w:val="en-US"/>
              </w:rPr>
            </w:pPr>
            <w:r w:rsidRPr="00847A38">
              <w:rPr>
                <w:lang w:val="en-US"/>
              </w:rPr>
              <w:t>96 ?</w:t>
            </w:r>
          </w:p>
        </w:tc>
      </w:tr>
      <w:tr w:rsidR="00A21092" w:rsidRPr="00847A38" w14:paraId="176C0855" w14:textId="6737C4A7" w:rsidTr="00A21092">
        <w:trPr>
          <w:divId w:val="1173568863"/>
        </w:trPr>
        <w:tc>
          <w:tcPr>
            <w:tcW w:w="302" w:type="pct"/>
          </w:tcPr>
          <w:p w14:paraId="54981506" w14:textId="5C8F53E1" w:rsidR="00A21092" w:rsidRPr="00847A38" w:rsidRDefault="00A21092" w:rsidP="00555A40">
            <w:pPr>
              <w:pStyle w:val="Normalweb"/>
              <w:rPr>
                <w:lang w:val="en-US"/>
              </w:rPr>
            </w:pPr>
            <w:r w:rsidRPr="00847A38">
              <w:rPr>
                <w:lang w:val="en-US"/>
              </w:rPr>
              <w:t>Teltzrow et al.</w:t>
            </w:r>
            <w:r w:rsidRPr="00847A38">
              <w:rPr>
                <w:lang w:val="en-US"/>
              </w:rPr>
              <w:fldChar w:fldCharType="begin" w:fldLock="1"/>
            </w:r>
            <w:r w:rsidR="00847A38" w:rsidRPr="00847A38">
              <w:rPr>
                <w:lang w:val="en-US"/>
              </w:rPr>
              <w:instrText>ADDIN CSL_CITATION { "citationItems" : [ { "id" : "ITEM-1", "itemData" : { "DOI" : "10.1016/j.jcms.2005.04.005", "ISSN" : "1010-5182", "PMID" : "16125398", "abstract" : "INTRODUCTION: The aim of this study was to review complications in a series of 1264 consecutive patients who were operated in a single centre during a 20-year-period.\n\nMATERIAL AND METHODS: Complications were documented, their incidences calculated and compared with data from the literature.\n\nRESULTS: In 35 patients (2.8%) infection developed requiring extraoral incision and drainage; in 27 patients (2.1%) the inferior alveolar nerve was inadvertently cut; 18 patients (1.4%) had to undergo re-operation due to bending or fracture of osteosynthesis material; 15 patients (1.2%) suffered from bleeding complications; in 12 patients (0.9%) an unfavourable split occurred. In 8 patients (0.6%) foreign bodies were left in situ; in 7 patients a partial weakness of the facial nerve occurred, which was permanent in 1 patient. Six patients (0.5%) with a significantly higher age than average (mean: 33.6 years in comparison with 23.1 years) developed non-union at the site of osteotomy, and the mandible had to be bone grafted. Two patients (0.2%) developed osteomyelitis, and in one patient airway problems led to a need for tracheostomy (0.1%).\n\nCONCLUSION: Although some of these complications of bilateral sagittal split with osteotomy carry severe limitations in health related quality of life, it remains an overall safe procedure, demanding, however, comprehensive informed consent. Good knowledge of technical reasons for these complications should help to reduce their incidence.", "author" : [ { "dropping-particle" : "", "family" : "Teltzrow", "given" : "Thomas", "non-dropping-particle" : "", "parse-names" : false, "suffix" : "" }, { "dropping-particle" : "", "family" : "Kramer", "given" : "Franz-Josef", "non-dropping-particle" : "", "parse-names" : false, "suffix" : "" }, { "dropping-particle" : "", "family" : "Schulze", "given" : "Andrea", "non-dropping-particle" : "", "parse-names" : false, "suffix" : "" }, { "dropping-particle" : "", "family" : "Baethge", "given" : "Carola", "non-dropping-particle" : "", "parse-names" : false, "suffix" : "" }, { "dropping-particle" : "", "family" : "Brachvogel", "given" : "Peter", "non-dropping-particle" : "", "parse-names" : false, "suffix" : "" } ], "container-title" : "Journal of cranio-maxillo-facial surgery : official publication of the European Association for Cranio-Maxillo-Facial Surgery", "id" : "ITEM-1", "issue" : "5", "issued" : { "date-parts" : [ [ "2005", "10" ] ] }, "page" : "307-13", "title" : "Perioperative complications following sagittal split osteotomy of the mandible.", "type" : "article-journal", "volume" : "33" }, "uris" : [ "http://www.mendeley.com/documents/?uuid=a2ce5a6c-4e65-4efe-b2b6-2ff644a00404" ] } ], "mendeley" : { "formattedCitation" : "[28]", "plainTextFormattedCitation" : "[28]", "previouslyFormattedCitation" : "[28]" }, "properties" : { "noteIndex" : 0 }, "schema" : "https://github.com/citation-style-language/schema/raw/master/csl-citation.json" }</w:instrText>
            </w:r>
            <w:r w:rsidRPr="00847A38">
              <w:rPr>
                <w:lang w:val="en-US"/>
              </w:rPr>
              <w:fldChar w:fldCharType="separate"/>
            </w:r>
            <w:r w:rsidR="00847A38" w:rsidRPr="00847A38">
              <w:rPr>
                <w:noProof/>
                <w:lang w:val="en-US"/>
              </w:rPr>
              <w:t>[28]</w:t>
            </w:r>
            <w:r w:rsidRPr="00847A38">
              <w:rPr>
                <w:lang w:val="en-US"/>
              </w:rPr>
              <w:fldChar w:fldCharType="end"/>
            </w:r>
          </w:p>
        </w:tc>
        <w:tc>
          <w:tcPr>
            <w:tcW w:w="378" w:type="pct"/>
          </w:tcPr>
          <w:p w14:paraId="5062BB7E" w14:textId="55C56766" w:rsidR="00A21092" w:rsidRPr="00847A38" w:rsidRDefault="00A21092" w:rsidP="008E3EE8">
            <w:pPr>
              <w:pStyle w:val="Normalweb"/>
              <w:rPr>
                <w:lang w:val="en-US"/>
              </w:rPr>
            </w:pPr>
            <w:r w:rsidRPr="00847A38">
              <w:rPr>
                <w:lang w:val="en-US"/>
              </w:rPr>
              <w:t>2005</w:t>
            </w:r>
          </w:p>
        </w:tc>
        <w:tc>
          <w:tcPr>
            <w:tcW w:w="318" w:type="pct"/>
          </w:tcPr>
          <w:p w14:paraId="696B6D14" w14:textId="111C9FF4" w:rsidR="00A21092" w:rsidRPr="00847A38" w:rsidRDefault="00A21092" w:rsidP="008E3EE8">
            <w:pPr>
              <w:pStyle w:val="Normalweb"/>
              <w:rPr>
                <w:lang w:val="en-US"/>
              </w:rPr>
            </w:pPr>
            <w:r w:rsidRPr="00847A38">
              <w:rPr>
                <w:lang w:val="en-US"/>
              </w:rPr>
              <w:t>1264</w:t>
            </w:r>
          </w:p>
        </w:tc>
        <w:tc>
          <w:tcPr>
            <w:tcW w:w="354" w:type="pct"/>
          </w:tcPr>
          <w:p w14:paraId="527CE98E" w14:textId="14B3FF46" w:rsidR="00A21092" w:rsidRPr="00847A38" w:rsidRDefault="00A21092" w:rsidP="008E3EE8">
            <w:pPr>
              <w:pStyle w:val="Normalweb"/>
              <w:rPr>
                <w:lang w:val="en-US"/>
              </w:rPr>
            </w:pPr>
            <w:r w:rsidRPr="00847A38">
              <w:rPr>
                <w:lang w:val="en-US"/>
              </w:rPr>
              <w:t>971</w:t>
            </w:r>
          </w:p>
        </w:tc>
        <w:tc>
          <w:tcPr>
            <w:tcW w:w="349" w:type="pct"/>
          </w:tcPr>
          <w:p w14:paraId="3F5B11AF" w14:textId="38C247EE" w:rsidR="00A21092" w:rsidRPr="00847A38" w:rsidRDefault="00A21092" w:rsidP="008E3EE8">
            <w:pPr>
              <w:pStyle w:val="Normalweb"/>
              <w:rPr>
                <w:lang w:val="en-US"/>
              </w:rPr>
            </w:pPr>
            <w:r w:rsidRPr="00847A38">
              <w:rPr>
                <w:lang w:val="en-US"/>
              </w:rPr>
              <w:t>293</w:t>
            </w:r>
          </w:p>
        </w:tc>
        <w:tc>
          <w:tcPr>
            <w:tcW w:w="349" w:type="pct"/>
          </w:tcPr>
          <w:p w14:paraId="673B23D9" w14:textId="11E9547E" w:rsidR="00A21092" w:rsidRPr="00847A38" w:rsidRDefault="00A21092" w:rsidP="008E3EE8">
            <w:pPr>
              <w:pStyle w:val="Normalweb"/>
              <w:rPr>
                <w:lang w:val="en-US"/>
              </w:rPr>
            </w:pPr>
            <w:r w:rsidRPr="00847A38">
              <w:rPr>
                <w:lang w:val="en-US"/>
              </w:rPr>
              <w:t>3</w:t>
            </w:r>
          </w:p>
        </w:tc>
        <w:tc>
          <w:tcPr>
            <w:tcW w:w="393" w:type="pct"/>
          </w:tcPr>
          <w:p w14:paraId="4E1990A9" w14:textId="0126B654" w:rsidR="00A21092" w:rsidRPr="00847A38" w:rsidRDefault="00A21092" w:rsidP="008E3EE8">
            <w:pPr>
              <w:pStyle w:val="Normalweb"/>
              <w:rPr>
                <w:lang w:val="en-US"/>
              </w:rPr>
            </w:pPr>
            <w:r w:rsidRPr="00847A38">
              <w:rPr>
                <w:lang w:val="en-US"/>
              </w:rPr>
              <w:t>2</w:t>
            </w:r>
          </w:p>
        </w:tc>
        <w:tc>
          <w:tcPr>
            <w:tcW w:w="393" w:type="pct"/>
          </w:tcPr>
          <w:p w14:paraId="6C7996BA" w14:textId="3ECE3494" w:rsidR="00A21092" w:rsidRPr="00847A38" w:rsidRDefault="00A21092" w:rsidP="008E3EE8">
            <w:pPr>
              <w:pStyle w:val="Normalweb"/>
              <w:rPr>
                <w:lang w:val="en-US"/>
              </w:rPr>
            </w:pPr>
            <w:r w:rsidRPr="00847A38">
              <w:rPr>
                <w:lang w:val="en-US"/>
              </w:rPr>
              <w:t>Unknown</w:t>
            </w:r>
          </w:p>
        </w:tc>
        <w:tc>
          <w:tcPr>
            <w:tcW w:w="375" w:type="pct"/>
          </w:tcPr>
          <w:p w14:paraId="3F57AD05" w14:textId="6BEA85EC" w:rsidR="00A21092" w:rsidRPr="00847A38" w:rsidRDefault="00A21092" w:rsidP="008E3EE8">
            <w:pPr>
              <w:pStyle w:val="Normalweb"/>
              <w:rPr>
                <w:lang w:val="en-US"/>
              </w:rPr>
            </w:pPr>
            <w:r w:rsidRPr="00847A38">
              <w:rPr>
                <w:lang w:val="en-US"/>
              </w:rPr>
              <w:t>1</w:t>
            </w:r>
          </w:p>
        </w:tc>
        <w:tc>
          <w:tcPr>
            <w:tcW w:w="343" w:type="pct"/>
          </w:tcPr>
          <w:p w14:paraId="4118D976" w14:textId="07C3E218" w:rsidR="00A21092" w:rsidRPr="00847A38" w:rsidRDefault="00A21092" w:rsidP="008E3EE8">
            <w:pPr>
              <w:pStyle w:val="Normalweb"/>
              <w:rPr>
                <w:lang w:val="en-US"/>
              </w:rPr>
            </w:pPr>
            <w:r w:rsidRPr="00847A38">
              <w:rPr>
                <w:lang w:val="en-US"/>
              </w:rPr>
              <w:t>Unknown</w:t>
            </w:r>
          </w:p>
        </w:tc>
        <w:tc>
          <w:tcPr>
            <w:tcW w:w="329" w:type="pct"/>
          </w:tcPr>
          <w:p w14:paraId="54869AF0" w14:textId="2E507076" w:rsidR="00A21092" w:rsidRPr="00847A38" w:rsidRDefault="00A21092" w:rsidP="008E3EE8">
            <w:pPr>
              <w:pStyle w:val="Normalweb"/>
              <w:rPr>
                <w:lang w:val="en-US"/>
              </w:rPr>
            </w:pPr>
            <w:r w:rsidRPr="00847A38">
              <w:rPr>
                <w:lang w:val="en-US"/>
              </w:rPr>
              <w:t>Unknown</w:t>
            </w:r>
          </w:p>
        </w:tc>
        <w:tc>
          <w:tcPr>
            <w:tcW w:w="373" w:type="pct"/>
          </w:tcPr>
          <w:p w14:paraId="74AB9E73" w14:textId="041AF27F" w:rsidR="00A21092" w:rsidRPr="00847A38" w:rsidRDefault="00A21092" w:rsidP="008E3EE8">
            <w:pPr>
              <w:pStyle w:val="Normalweb"/>
              <w:rPr>
                <w:lang w:val="en-US"/>
              </w:rPr>
            </w:pPr>
            <w:r w:rsidRPr="00847A38">
              <w:rPr>
                <w:lang w:val="en-US"/>
              </w:rPr>
              <w:t>Unknown</w:t>
            </w:r>
          </w:p>
        </w:tc>
        <w:tc>
          <w:tcPr>
            <w:tcW w:w="372" w:type="pct"/>
          </w:tcPr>
          <w:p w14:paraId="41EDE58E" w14:textId="51CE8461" w:rsidR="00A21092" w:rsidRPr="00847A38" w:rsidRDefault="00A21092" w:rsidP="008E3EE8">
            <w:pPr>
              <w:pStyle w:val="Normalweb"/>
              <w:rPr>
                <w:lang w:val="en-US"/>
              </w:rPr>
            </w:pPr>
            <w:r w:rsidRPr="00847A38">
              <w:rPr>
                <w:lang w:val="en-US"/>
              </w:rPr>
              <w:t>Unknown</w:t>
            </w:r>
          </w:p>
        </w:tc>
        <w:tc>
          <w:tcPr>
            <w:tcW w:w="372" w:type="pct"/>
          </w:tcPr>
          <w:p w14:paraId="61801A80" w14:textId="64BD0176" w:rsidR="00A21092" w:rsidRPr="00847A38" w:rsidRDefault="00A21092" w:rsidP="008E3EE8">
            <w:pPr>
              <w:pStyle w:val="Normalweb"/>
              <w:rPr>
                <w:lang w:val="en-US"/>
              </w:rPr>
            </w:pPr>
            <w:r w:rsidRPr="00847A38">
              <w:rPr>
                <w:lang w:val="en-US"/>
              </w:rPr>
              <w:t>?</w:t>
            </w:r>
          </w:p>
        </w:tc>
      </w:tr>
      <w:tr w:rsidR="00A21092" w:rsidRPr="00847A38" w14:paraId="3B6CD173" w14:textId="0A85868E" w:rsidTr="00A21092">
        <w:trPr>
          <w:divId w:val="1173568863"/>
        </w:trPr>
        <w:tc>
          <w:tcPr>
            <w:tcW w:w="302" w:type="pct"/>
          </w:tcPr>
          <w:p w14:paraId="268872CE" w14:textId="6AF9188B" w:rsidR="00A21092" w:rsidRPr="00847A38" w:rsidRDefault="00A21092" w:rsidP="00A717DA">
            <w:pPr>
              <w:pStyle w:val="Normalweb"/>
              <w:rPr>
                <w:lang w:val="en-US"/>
              </w:rPr>
            </w:pPr>
            <w:r w:rsidRPr="00847A38">
              <w:rPr>
                <w:lang w:val="en-US"/>
              </w:rPr>
              <w:t>Al-Bishri et al.</w:t>
            </w:r>
            <w:r w:rsidRPr="00847A38">
              <w:rPr>
                <w:lang w:val="en-US"/>
              </w:rPr>
              <w:fldChar w:fldCharType="begin" w:fldLock="1"/>
            </w:r>
            <w:r w:rsidR="00847A38" w:rsidRPr="00847A38">
              <w:rPr>
                <w:lang w:val="en-US"/>
              </w:rPr>
              <w:instrText>ADDIN CSL_CITATION { "citationItems" : [ { "id" : "ITEM-1", "itemData" : { "DOI" : "10.1016/j.joms.2004.04.021", "ISSN" : "02782391", "abstract" : "PURPOSE\nThe purpose of this retrospective study was to assess the incidence of the neurosensory disturbance (NSD) after sagittal split osteotomy and evaluate NSD in relation to patient age, gender, satisfaction, and effect of steroids. \n\nPATIENTS AND METHODS\nQuestionnaires were mailed to all patients (31 women, 19 men) who underwent bilateral sagittal split osteotomy between 1995 and 1999, at least 1 year after the operation. Patients were queried about perceived NSD in the distribution of both inferior alveolar and lingual nerves, duration of these changes, and any influence of these changes on their quality of life. \n\nRESULTS\nEighty-six percent of the mailed questionnaires were returned and analyzed (27 women, 16 men). Eight patients with 10 affected sides (11.6% of sides) reported long lasting NSD corresponding to the distribution of the inferior alveolar nerve. NSD was reported in 16.7% of the operated sides in women, while 3% of the operated sides in the men had such changes. Fifty percent of the operated sides in patients over 40 years of age were affected. Steroid treatment seemed to decrease NSD. Four patients (9%) were not satisfied, but only 1 attributed the dissatisfaction to sensory impairment. \n\nCONCLUSION\nThe incidence of NSD after sagittal split osteotomy increases in patients over the age of 40. Steroid regimen might be beneficial in reducing NSD after sagittal split osteotomy, although further investigation is required. The discomfort of the nerve damage seems outweighed by the result of function and esthetics.", "author" : [ { "dropping-particle" : "", "family" : "Al-Bishri", "given" : "Awwad", "non-dropping-particle" : "", "parse-names" : false, "suffix" : "" }, { "dropping-particle" : "", "family" : "Rosenquist", "given" : "Jan", "non-dropping-particle" : "", "parse-names" : false, "suffix" : "" }, { "dropping-particle" : "", "family" : "Sunzel", "given" : "Bo", "non-dropping-particle" : "", "parse-names" : false, "suffix" : "" } ], "container-title" : "Journal of Oral and Maxillofacial Surgery", "id" : "ITEM-1", "issue" : "12", "issued" : { "date-parts" : [ [ "2004", "12" ] ] }, "page" : "1472-1476", "title" : "On neurosensory disturbance after sagittal split osteotomy", "type" : "article-journal", "volume" : "62" }, "uris" : [ "http://www.mendeley.com/documents/?uuid=b9f890b9-3501-4149-93f2-b8eaa255bbd5" ] } ], "mendeley" : { "formattedCitation" : "[29]", "plainTextFormattedCitation" : "[29]", "previouslyFormattedCitation" : "[29]" }, "properties" : { "noteIndex" : 0 }, "schema" : "https://github.com/citation-style-language/schema/raw/master/csl-citation.json" }</w:instrText>
            </w:r>
            <w:r w:rsidRPr="00847A38">
              <w:rPr>
                <w:lang w:val="en-US"/>
              </w:rPr>
              <w:fldChar w:fldCharType="separate"/>
            </w:r>
            <w:r w:rsidR="00847A38" w:rsidRPr="00847A38">
              <w:rPr>
                <w:noProof/>
                <w:lang w:val="en-US"/>
              </w:rPr>
              <w:t>[29]</w:t>
            </w:r>
            <w:r w:rsidRPr="00847A38">
              <w:rPr>
                <w:lang w:val="en-US"/>
              </w:rPr>
              <w:fldChar w:fldCharType="end"/>
            </w:r>
          </w:p>
        </w:tc>
        <w:tc>
          <w:tcPr>
            <w:tcW w:w="378" w:type="pct"/>
          </w:tcPr>
          <w:p w14:paraId="354E4BB0" w14:textId="46202691" w:rsidR="00A21092" w:rsidRPr="00847A38" w:rsidRDefault="00A21092" w:rsidP="008E3EE8">
            <w:pPr>
              <w:pStyle w:val="Normalweb"/>
              <w:rPr>
                <w:lang w:val="en-US"/>
              </w:rPr>
            </w:pPr>
            <w:r w:rsidRPr="00847A38">
              <w:rPr>
                <w:lang w:val="en-US"/>
              </w:rPr>
              <w:t>2004</w:t>
            </w:r>
          </w:p>
        </w:tc>
        <w:tc>
          <w:tcPr>
            <w:tcW w:w="318" w:type="pct"/>
          </w:tcPr>
          <w:p w14:paraId="5BA91F14" w14:textId="04297953" w:rsidR="00A21092" w:rsidRPr="00847A38" w:rsidRDefault="00A21092" w:rsidP="008E3EE8">
            <w:pPr>
              <w:pStyle w:val="Normalweb"/>
              <w:rPr>
                <w:lang w:val="en-US"/>
              </w:rPr>
            </w:pPr>
            <w:r w:rsidRPr="00847A38">
              <w:rPr>
                <w:lang w:val="en-US"/>
              </w:rPr>
              <w:t>43</w:t>
            </w:r>
          </w:p>
        </w:tc>
        <w:tc>
          <w:tcPr>
            <w:tcW w:w="354" w:type="pct"/>
          </w:tcPr>
          <w:p w14:paraId="5C94DD58" w14:textId="77777777" w:rsidR="00A21092" w:rsidRPr="00847A38" w:rsidRDefault="00A21092" w:rsidP="008E3EE8">
            <w:pPr>
              <w:pStyle w:val="Normalweb"/>
              <w:rPr>
                <w:lang w:val="en-US"/>
              </w:rPr>
            </w:pPr>
          </w:p>
        </w:tc>
        <w:tc>
          <w:tcPr>
            <w:tcW w:w="349" w:type="pct"/>
          </w:tcPr>
          <w:p w14:paraId="6AF7D92A" w14:textId="7CE047A1" w:rsidR="00A21092" w:rsidRPr="00847A38" w:rsidRDefault="00A21092" w:rsidP="008E3EE8">
            <w:pPr>
              <w:pStyle w:val="Normalweb"/>
              <w:rPr>
                <w:lang w:val="en-US"/>
              </w:rPr>
            </w:pPr>
            <w:r w:rsidRPr="00847A38">
              <w:rPr>
                <w:lang w:val="en-US"/>
              </w:rPr>
              <w:t>43</w:t>
            </w:r>
          </w:p>
        </w:tc>
        <w:tc>
          <w:tcPr>
            <w:tcW w:w="349" w:type="pct"/>
          </w:tcPr>
          <w:p w14:paraId="0A28D5AB" w14:textId="0CCF3C90" w:rsidR="00A21092" w:rsidRPr="00847A38" w:rsidRDefault="00A21092" w:rsidP="008E3EE8">
            <w:pPr>
              <w:pStyle w:val="Normalweb"/>
              <w:rPr>
                <w:lang w:val="en-US"/>
              </w:rPr>
            </w:pPr>
            <w:r w:rsidRPr="00847A38">
              <w:rPr>
                <w:lang w:val="en-US"/>
              </w:rPr>
              <w:t>Unknown</w:t>
            </w:r>
          </w:p>
        </w:tc>
        <w:tc>
          <w:tcPr>
            <w:tcW w:w="393" w:type="pct"/>
          </w:tcPr>
          <w:p w14:paraId="471AB4E7" w14:textId="17EDABC6" w:rsidR="00A21092" w:rsidRPr="00847A38" w:rsidRDefault="00A21092" w:rsidP="008E3EE8">
            <w:pPr>
              <w:pStyle w:val="Normalweb"/>
              <w:rPr>
                <w:lang w:val="en-US"/>
              </w:rPr>
            </w:pPr>
            <w:r w:rsidRPr="00847A38">
              <w:rPr>
                <w:lang w:val="en-US"/>
              </w:rPr>
              <w:t>12</w:t>
            </w:r>
          </w:p>
        </w:tc>
        <w:tc>
          <w:tcPr>
            <w:tcW w:w="393" w:type="pct"/>
          </w:tcPr>
          <w:p w14:paraId="62DC6C0D" w14:textId="6A70DA3F" w:rsidR="00A21092" w:rsidRPr="00847A38" w:rsidRDefault="00A21092" w:rsidP="008E3EE8">
            <w:pPr>
              <w:pStyle w:val="Normalweb"/>
              <w:rPr>
                <w:lang w:val="en-US"/>
              </w:rPr>
            </w:pPr>
            <w:r w:rsidRPr="00847A38">
              <w:rPr>
                <w:lang w:val="en-US"/>
              </w:rPr>
              <w:t>Unknown</w:t>
            </w:r>
          </w:p>
        </w:tc>
        <w:tc>
          <w:tcPr>
            <w:tcW w:w="375" w:type="pct"/>
          </w:tcPr>
          <w:p w14:paraId="7C317626" w14:textId="55040EAD" w:rsidR="00A21092" w:rsidRPr="00847A38" w:rsidRDefault="00A21092" w:rsidP="008E3EE8">
            <w:pPr>
              <w:pStyle w:val="Normalweb"/>
              <w:rPr>
                <w:lang w:val="en-US"/>
              </w:rPr>
            </w:pPr>
            <w:r w:rsidRPr="00847A38">
              <w:rPr>
                <w:lang w:val="en-US"/>
              </w:rPr>
              <w:t>Unknown</w:t>
            </w:r>
          </w:p>
        </w:tc>
        <w:tc>
          <w:tcPr>
            <w:tcW w:w="343" w:type="pct"/>
          </w:tcPr>
          <w:p w14:paraId="5B238389" w14:textId="5CFA7746" w:rsidR="00A21092" w:rsidRPr="00847A38" w:rsidRDefault="00A21092" w:rsidP="008E3EE8">
            <w:pPr>
              <w:pStyle w:val="Normalweb"/>
              <w:rPr>
                <w:lang w:val="en-US"/>
              </w:rPr>
            </w:pPr>
            <w:r w:rsidRPr="00847A38">
              <w:rPr>
                <w:lang w:val="en-US"/>
              </w:rPr>
              <w:t>Unknown</w:t>
            </w:r>
          </w:p>
        </w:tc>
        <w:tc>
          <w:tcPr>
            <w:tcW w:w="329" w:type="pct"/>
          </w:tcPr>
          <w:p w14:paraId="5ED76DB6" w14:textId="1C9F5702" w:rsidR="00A21092" w:rsidRPr="00847A38" w:rsidRDefault="00A21092" w:rsidP="008E3EE8">
            <w:pPr>
              <w:pStyle w:val="Normalweb"/>
              <w:rPr>
                <w:lang w:val="en-US"/>
              </w:rPr>
            </w:pPr>
            <w:r w:rsidRPr="00847A38">
              <w:rPr>
                <w:lang w:val="en-US"/>
              </w:rPr>
              <w:t>Unknown</w:t>
            </w:r>
          </w:p>
        </w:tc>
        <w:tc>
          <w:tcPr>
            <w:tcW w:w="373" w:type="pct"/>
          </w:tcPr>
          <w:p w14:paraId="218E94EE" w14:textId="18D5B50D" w:rsidR="00A21092" w:rsidRPr="00847A38" w:rsidRDefault="00A21092" w:rsidP="008E3EE8">
            <w:pPr>
              <w:pStyle w:val="Normalweb"/>
              <w:rPr>
                <w:lang w:val="en-US"/>
              </w:rPr>
            </w:pPr>
            <w:r w:rsidRPr="00847A38">
              <w:rPr>
                <w:lang w:val="en-US"/>
              </w:rPr>
              <w:t>Unknown</w:t>
            </w:r>
          </w:p>
        </w:tc>
        <w:tc>
          <w:tcPr>
            <w:tcW w:w="372" w:type="pct"/>
          </w:tcPr>
          <w:p w14:paraId="4AB2B535" w14:textId="7AB95DD1" w:rsidR="00A21092" w:rsidRPr="00847A38" w:rsidRDefault="00A21092" w:rsidP="008E3EE8">
            <w:pPr>
              <w:pStyle w:val="Normalweb"/>
              <w:rPr>
                <w:lang w:val="en-US"/>
              </w:rPr>
            </w:pPr>
            <w:r w:rsidRPr="00847A38">
              <w:rPr>
                <w:lang w:val="en-US"/>
              </w:rPr>
              <w:t>Unknown</w:t>
            </w:r>
          </w:p>
        </w:tc>
        <w:tc>
          <w:tcPr>
            <w:tcW w:w="372" w:type="pct"/>
          </w:tcPr>
          <w:p w14:paraId="3F87B833" w14:textId="5E8C62AF" w:rsidR="00A21092" w:rsidRPr="00847A38" w:rsidRDefault="00A21092" w:rsidP="008E3EE8">
            <w:pPr>
              <w:pStyle w:val="Normalweb"/>
              <w:rPr>
                <w:lang w:val="en-US"/>
              </w:rPr>
            </w:pPr>
            <w:r w:rsidRPr="00847A38">
              <w:rPr>
                <w:lang w:val="en-US"/>
              </w:rPr>
              <w:t>&gt; 12</w:t>
            </w:r>
          </w:p>
        </w:tc>
      </w:tr>
      <w:tr w:rsidR="00A21092" w:rsidRPr="00847A38" w14:paraId="3C6D46D9" w14:textId="67AC03EB" w:rsidTr="00A21092">
        <w:trPr>
          <w:divId w:val="1173568863"/>
        </w:trPr>
        <w:tc>
          <w:tcPr>
            <w:tcW w:w="302" w:type="pct"/>
          </w:tcPr>
          <w:p w14:paraId="1D3AD384" w14:textId="0F6CD3FA" w:rsidR="00A21092" w:rsidRPr="00847A38" w:rsidRDefault="00A21092" w:rsidP="009A6B9E">
            <w:pPr>
              <w:pStyle w:val="Normalweb"/>
              <w:rPr>
                <w:lang w:val="en-US"/>
              </w:rPr>
            </w:pPr>
            <w:r w:rsidRPr="00847A38">
              <w:rPr>
                <w:lang w:val="en-US"/>
              </w:rPr>
              <w:t>Acebal-Bianco et al.</w:t>
            </w:r>
            <w:r w:rsidRPr="00847A38">
              <w:rPr>
                <w:lang w:val="en-US"/>
              </w:rPr>
              <w:fldChar w:fldCharType="begin" w:fldLock="1"/>
            </w:r>
            <w:r w:rsidR="00847A38" w:rsidRPr="00847A38">
              <w:rPr>
                <w:lang w:val="en-US"/>
              </w:rPr>
              <w:instrText>ADDIN CSL_CITATION { "citationItems" : [ { "id" : "ITEM-1", "itemData" : { "DOI" : "10.1053/joms.2000.7874", "ISSN" : "0278-2391", "PMID" : "10883690", "abstract" : "PURPOSE: Frequency and severity of complications have a profound impact on referral patterns for facial orthopedic surgery. Therefore, a retrospective study was undertaken to determine the incidence of such problems in a large series of patients, with the intent to use these data to make possible changes in the perioperative protocol used in our clinic.\n\nPATIENTS AND METHODS: The files of all patients operated on between 1992 and 1996 were studied. These comprised 1,108 patients with 1,872 osteotomy procedures. The following parameters were descriptively analyzed: airway obstruction, hemorrhage, hematoma, infection, neurosensory disturbances, unfavorable fractures, malposition of condyles and nasal septum, and vascularization problems.\n\nRESULTS: The most frequent complication was impairment of trigeminal nerve function. In 31.5% of the mandibular base osteotomies, 43.6% of the combined mandibular base and chin osteotomies, and 13% of the chin osteotomies, lip sensibility was decreased immediately postoperatively. After 1 year, this number was reduced to approximately 5%. The function of 17 lingual nerves and 45 infraorbital nerves was temporarily impaired. A wound infection was next in frequency. Fifty-three infections (mandible-to-maxilla ratio, 2.5:1) were treated with drainage under local anesthesia and antibiotic therapy. Loss of part or all of an osteotomized segment did not occur. Other complications were rare and/or temporary.\n\nCONCLUSIONS: The most frequent complication was impairment of inferior alveolar nerve function. Life-threatening complications were not encountered. The frequency of infections (&lt;5%) requires further consideration regarding ways to reduce the incidence.", "author" : [ { "dropping-particle" : "", "family" : "Acebal-Bianco", "given" : "F", "non-dropping-particle" : "", "parse-names" : false, "suffix" : "" }, { "dropping-particle" : "", "family" : "Vuylsteke", "given" : "P L", "non-dropping-particle" : "", "parse-names" : false, "suffix" : "" }, { "dropping-particle" : "", "family" : "Mommaerts", "given" : "M Y", "non-dropping-particle" : "", "parse-names" : false, "suffix" : "" }, { "dropping-particle" : "", "family" : "Clercq", "given" : "C A", "non-dropping-particle" : "De", "parse-names" : false, "suffix" : "" } ], "container-title" : "Journal of oral and maxillofacial surgery : official journal of the American Association of Oral and Maxillofacial Surgeons", "id" : "ITEM-1", "issue" : "7", "issued" : { "date-parts" : [ [ "2000", "7" ] ] }, "page" : "754-60", "title" : "Perioperative complications in corrective facial orthopedic surgery: a 5-year retrospective study.", "type" : "article-journal", "volume" : "58" }, "uris" : [ "http://www.mendeley.com/documents/?uuid=580baf2b-d056-4c21-a3b8-ea86422970af" ] } ], "mendeley" : { "formattedCitation" : "[30]", "plainTextFormattedCitation" : "[30]", "previouslyFormattedCitation" : "[30]" }, "properties" : { "noteIndex" : 0 }, "schema" : "https://github.com/citation-style-language/schema/raw/master/csl-citation.json" }</w:instrText>
            </w:r>
            <w:r w:rsidRPr="00847A38">
              <w:rPr>
                <w:lang w:val="en-US"/>
              </w:rPr>
              <w:fldChar w:fldCharType="separate"/>
            </w:r>
            <w:r w:rsidR="00847A38" w:rsidRPr="00847A38">
              <w:rPr>
                <w:noProof/>
                <w:lang w:val="en-US"/>
              </w:rPr>
              <w:t>[30]</w:t>
            </w:r>
            <w:r w:rsidRPr="00847A38">
              <w:rPr>
                <w:lang w:val="en-US"/>
              </w:rPr>
              <w:fldChar w:fldCharType="end"/>
            </w:r>
          </w:p>
        </w:tc>
        <w:tc>
          <w:tcPr>
            <w:tcW w:w="378" w:type="pct"/>
          </w:tcPr>
          <w:p w14:paraId="4718E914" w14:textId="645BBB18" w:rsidR="00A21092" w:rsidRPr="00847A38" w:rsidRDefault="00A21092" w:rsidP="008E3EE8">
            <w:pPr>
              <w:pStyle w:val="Normalweb"/>
              <w:rPr>
                <w:lang w:val="en-US"/>
              </w:rPr>
            </w:pPr>
            <w:r w:rsidRPr="00847A38">
              <w:rPr>
                <w:lang w:val="en-US"/>
              </w:rPr>
              <w:t>2000</w:t>
            </w:r>
          </w:p>
        </w:tc>
        <w:tc>
          <w:tcPr>
            <w:tcW w:w="318" w:type="pct"/>
          </w:tcPr>
          <w:p w14:paraId="74D14172" w14:textId="2E258467" w:rsidR="00A21092" w:rsidRPr="00847A38" w:rsidRDefault="00A21092" w:rsidP="008E3EE8">
            <w:pPr>
              <w:pStyle w:val="Normalweb"/>
              <w:rPr>
                <w:lang w:val="en-US"/>
              </w:rPr>
            </w:pPr>
            <w:r w:rsidRPr="00847A38">
              <w:rPr>
                <w:lang w:val="en-US"/>
              </w:rPr>
              <w:t>1,108</w:t>
            </w:r>
          </w:p>
        </w:tc>
        <w:tc>
          <w:tcPr>
            <w:tcW w:w="354" w:type="pct"/>
          </w:tcPr>
          <w:p w14:paraId="4C080E1F" w14:textId="0B1EB52A" w:rsidR="00A21092" w:rsidRPr="00847A38" w:rsidRDefault="00A21092" w:rsidP="008E3EE8">
            <w:pPr>
              <w:pStyle w:val="Normalweb"/>
              <w:rPr>
                <w:lang w:val="en-US"/>
              </w:rPr>
            </w:pPr>
          </w:p>
        </w:tc>
        <w:tc>
          <w:tcPr>
            <w:tcW w:w="349" w:type="pct"/>
          </w:tcPr>
          <w:p w14:paraId="14DDD377" w14:textId="6BE096E6" w:rsidR="00A21092" w:rsidRPr="00847A38" w:rsidRDefault="00A21092" w:rsidP="008E3EE8">
            <w:pPr>
              <w:pStyle w:val="Normalweb"/>
              <w:rPr>
                <w:lang w:val="en-US"/>
              </w:rPr>
            </w:pPr>
            <w:r w:rsidRPr="00847A38">
              <w:rPr>
                <w:lang w:val="en-US"/>
              </w:rPr>
              <w:t xml:space="preserve">802 </w:t>
            </w:r>
          </w:p>
        </w:tc>
        <w:tc>
          <w:tcPr>
            <w:tcW w:w="349" w:type="pct"/>
          </w:tcPr>
          <w:p w14:paraId="5E404570" w14:textId="48651161" w:rsidR="00A21092" w:rsidRPr="00847A38" w:rsidRDefault="00A21092" w:rsidP="008E3EE8">
            <w:pPr>
              <w:pStyle w:val="Normalweb"/>
              <w:rPr>
                <w:lang w:val="en-US"/>
              </w:rPr>
            </w:pPr>
            <w:r w:rsidRPr="00847A38">
              <w:rPr>
                <w:lang w:val="en-US"/>
              </w:rPr>
              <w:t>Unknown</w:t>
            </w:r>
          </w:p>
        </w:tc>
        <w:tc>
          <w:tcPr>
            <w:tcW w:w="393" w:type="pct"/>
          </w:tcPr>
          <w:p w14:paraId="7771B92E" w14:textId="3F57171E" w:rsidR="00A21092" w:rsidRPr="00847A38" w:rsidRDefault="00A21092" w:rsidP="008E3EE8">
            <w:pPr>
              <w:pStyle w:val="Normalweb"/>
              <w:rPr>
                <w:lang w:val="en-US"/>
              </w:rPr>
            </w:pPr>
            <w:r w:rsidRPr="00847A38">
              <w:rPr>
                <w:lang w:val="en-US"/>
              </w:rPr>
              <w:t>6</w:t>
            </w:r>
          </w:p>
        </w:tc>
        <w:tc>
          <w:tcPr>
            <w:tcW w:w="393" w:type="pct"/>
          </w:tcPr>
          <w:p w14:paraId="3006C71C" w14:textId="25F0F276" w:rsidR="00A21092" w:rsidRPr="00847A38" w:rsidRDefault="00A21092" w:rsidP="008E3EE8">
            <w:pPr>
              <w:pStyle w:val="Normalweb"/>
              <w:rPr>
                <w:lang w:val="en-US"/>
              </w:rPr>
            </w:pPr>
            <w:r w:rsidRPr="00847A38">
              <w:rPr>
                <w:lang w:val="en-US"/>
              </w:rPr>
              <w:t>Unknown</w:t>
            </w:r>
          </w:p>
        </w:tc>
        <w:tc>
          <w:tcPr>
            <w:tcW w:w="375" w:type="pct"/>
          </w:tcPr>
          <w:p w14:paraId="7DD7048D" w14:textId="279270AF" w:rsidR="00A21092" w:rsidRPr="00847A38" w:rsidRDefault="00A21092" w:rsidP="008E3EE8">
            <w:pPr>
              <w:pStyle w:val="Normalweb"/>
              <w:rPr>
                <w:lang w:val="en-US"/>
              </w:rPr>
            </w:pPr>
            <w:r w:rsidRPr="00847A38">
              <w:rPr>
                <w:lang w:val="en-US"/>
              </w:rPr>
              <w:t>Unknown</w:t>
            </w:r>
          </w:p>
        </w:tc>
        <w:tc>
          <w:tcPr>
            <w:tcW w:w="343" w:type="pct"/>
          </w:tcPr>
          <w:p w14:paraId="52F874B7" w14:textId="37F9BEEB" w:rsidR="00A21092" w:rsidRPr="00847A38" w:rsidRDefault="00A21092" w:rsidP="008E3EE8">
            <w:pPr>
              <w:pStyle w:val="Normalweb"/>
              <w:rPr>
                <w:lang w:val="en-US"/>
              </w:rPr>
            </w:pPr>
            <w:r w:rsidRPr="00847A38">
              <w:rPr>
                <w:lang w:val="en-US"/>
              </w:rPr>
              <w:t>Unknown</w:t>
            </w:r>
          </w:p>
        </w:tc>
        <w:tc>
          <w:tcPr>
            <w:tcW w:w="329" w:type="pct"/>
          </w:tcPr>
          <w:p w14:paraId="0E168386" w14:textId="031E12F1" w:rsidR="00A21092" w:rsidRPr="00847A38" w:rsidRDefault="00A21092" w:rsidP="008E3EE8">
            <w:pPr>
              <w:pStyle w:val="Normalweb"/>
              <w:rPr>
                <w:lang w:val="en-US"/>
              </w:rPr>
            </w:pPr>
            <w:r w:rsidRPr="00847A38">
              <w:rPr>
                <w:lang w:val="en-US"/>
              </w:rPr>
              <w:t>Unknown</w:t>
            </w:r>
          </w:p>
        </w:tc>
        <w:tc>
          <w:tcPr>
            <w:tcW w:w="373" w:type="pct"/>
          </w:tcPr>
          <w:p w14:paraId="362D932A" w14:textId="598F6F11" w:rsidR="00A21092" w:rsidRPr="00847A38" w:rsidRDefault="00A21092" w:rsidP="008E3EE8">
            <w:pPr>
              <w:pStyle w:val="Normalweb"/>
              <w:rPr>
                <w:lang w:val="en-US"/>
              </w:rPr>
            </w:pPr>
            <w:r w:rsidRPr="00847A38">
              <w:rPr>
                <w:lang w:val="en-US"/>
              </w:rPr>
              <w:t>Unknown</w:t>
            </w:r>
          </w:p>
        </w:tc>
        <w:tc>
          <w:tcPr>
            <w:tcW w:w="372" w:type="pct"/>
          </w:tcPr>
          <w:p w14:paraId="26D6FBBB" w14:textId="3451204D" w:rsidR="00A21092" w:rsidRPr="00847A38" w:rsidRDefault="00A21092" w:rsidP="008E3EE8">
            <w:pPr>
              <w:pStyle w:val="Normalweb"/>
              <w:rPr>
                <w:lang w:val="en-US"/>
              </w:rPr>
            </w:pPr>
            <w:r w:rsidRPr="00847A38">
              <w:rPr>
                <w:lang w:val="en-US"/>
              </w:rPr>
              <w:t>Unknown</w:t>
            </w:r>
          </w:p>
        </w:tc>
        <w:tc>
          <w:tcPr>
            <w:tcW w:w="372" w:type="pct"/>
          </w:tcPr>
          <w:p w14:paraId="4D1F2A02" w14:textId="4E6FC819" w:rsidR="00A21092" w:rsidRPr="00847A38" w:rsidRDefault="00A21092" w:rsidP="008E3EE8">
            <w:pPr>
              <w:pStyle w:val="Normalweb"/>
              <w:rPr>
                <w:lang w:val="en-US"/>
              </w:rPr>
            </w:pPr>
            <w:r w:rsidRPr="00847A38">
              <w:rPr>
                <w:lang w:val="en-US"/>
              </w:rPr>
              <w:t>?</w:t>
            </w:r>
          </w:p>
        </w:tc>
      </w:tr>
      <w:tr w:rsidR="00A21092" w:rsidRPr="00847A38" w14:paraId="1B768C7A" w14:textId="77777777" w:rsidTr="00A21092">
        <w:trPr>
          <w:divId w:val="1173568863"/>
        </w:trPr>
        <w:tc>
          <w:tcPr>
            <w:tcW w:w="302" w:type="pct"/>
          </w:tcPr>
          <w:p w14:paraId="68F22A56" w14:textId="4CDD9FA7" w:rsidR="00A21092" w:rsidRPr="00847A38" w:rsidRDefault="00A21092" w:rsidP="009A6B9E">
            <w:pPr>
              <w:pStyle w:val="Normalweb"/>
              <w:rPr>
                <w:lang w:val="en-US"/>
              </w:rPr>
            </w:pPr>
            <w:r w:rsidRPr="00847A38">
              <w:rPr>
                <w:lang w:val="en-US"/>
              </w:rPr>
              <w:t>Thygesen et al.</w:t>
            </w:r>
            <w:r w:rsidRPr="00847A38">
              <w:rPr>
                <w:lang w:val="en-US"/>
              </w:rPr>
              <w:fldChar w:fldCharType="begin" w:fldLock="1"/>
            </w:r>
            <w:r w:rsidR="00847A38" w:rsidRPr="00847A38">
              <w:rPr>
                <w:lang w:val="en-US"/>
              </w:rPr>
              <w:instrText>ADDIN CSL_CITATION { "citationItems" : [ { "id" : "ITEM-1", "itemData" : { "DOI" : "10.1016/j.joms.2007.06.666", "ISSN" : "1531-5053", "PMID" : "18280379", "abstract" : "PURPOSE: The aim of this study was to evaluate potential individual and intraoperative risk factors associated with bilateral sagittal split osteotomy (BSSO) and to correlate the findings with postoperative changes in somatosensory function.\n\nPATIENTS AND METHODS: A total of 18 men and 29 women (mean age, 31 +/- 10 years) scheduled for BSSO participated in 1 session before BSSO and 5 sessions after BSSO (at 2 and 14 days and 3, 6, and 12 months). At each session, subjective oral sensation was scored and quantitative sensory tests were performed.\n\nRESULTS: The results showed that complete exposure and free dissection of the inferior alveolar nerve during BSSO increased self-reported changes in lower lip sensation and lower lip tactile threshold after BSSO (P &lt; .01). Long surgical movements reduced self-perceived jaw-opening function and impaired 2-point discrimination (P &lt; .05). Significant correlations were noted between preoperative values for somatosensory function and changes in these variables after BSSO. Patients with low sensory thresholds before BSSO experienced more impairment than those patients with higher preoperative sensory thresholds.\n\nCONCLUSION: These findings imply that somatosensory function after BSSO is dependent on both intraoperative risk factors and preoperative sensation levels.", "author" : [ { "dropping-particle" : "", "family" : "Thygesen", "given" : "Torben H", "non-dropping-particle" : "", "parse-names" : false, "suffix" : "" }, { "dropping-particle" : "", "family" : "Bardow", "given" : "Allan", "non-dropping-particle" : "", "parse-names" : false, "suffix" : "" }, { "dropping-particle" : "", "family" : "Helleberg", "given" : "Malene", "non-dropping-particle" : "", "parse-names" : false, "suffix" : "" }, { "dropping-particle" : "", "family" : "Norholt", "given" : "Sven Erik", "non-dropping-particle" : "", "parse-names" : false, "suffix" : "" }, { "dropping-particle" : "", "family" : "Jensen", "given" : "John", "non-dropping-particle" : "", "parse-names" : false, "suffix" : "" }, { "dropping-particle" : "", "family" : "Svensson", "given" : "Peter", "non-dropping-particle" : "", "parse-names" : false, "suffix" : "" } ], "container-title" : "Journal of oral and maxillofacial surgery : official journal of the American Association of Oral and Maxillofacial Surgeons", "id" : "ITEM-1", "issue" : "3", "issued" : { "date-parts" : [ [ "2008", "3" ] ] }, "page" : "469-74", "title" : "Risk factors affecting somatosensory function after sagittal split osteotomy.", "type" : "article-journal", "volume" : "66" }, "uris" : [ "http://www.mendeley.com/documents/?uuid=da5aad43-3f7c-4df7-a4fe-32d1efa610e7" ] } ], "mendeley" : { "formattedCitation" : "[31]", "plainTextFormattedCitation" : "[31]", "previouslyFormattedCitation" : "[31]" }, "properties" : { "noteIndex" : 0 }, "schema" : "https://github.com/citation-style-language/schema/raw/master/csl-citation.json" }</w:instrText>
            </w:r>
            <w:r w:rsidRPr="00847A38">
              <w:rPr>
                <w:lang w:val="en-US"/>
              </w:rPr>
              <w:fldChar w:fldCharType="separate"/>
            </w:r>
            <w:r w:rsidR="00847A38" w:rsidRPr="00847A38">
              <w:rPr>
                <w:noProof/>
                <w:lang w:val="en-US"/>
              </w:rPr>
              <w:t>[31]</w:t>
            </w:r>
            <w:r w:rsidRPr="00847A38">
              <w:rPr>
                <w:lang w:val="en-US"/>
              </w:rPr>
              <w:fldChar w:fldCharType="end"/>
            </w:r>
          </w:p>
        </w:tc>
        <w:tc>
          <w:tcPr>
            <w:tcW w:w="378" w:type="pct"/>
          </w:tcPr>
          <w:p w14:paraId="2D4F14A9" w14:textId="1AD8FF5C" w:rsidR="00A21092" w:rsidRPr="00847A38" w:rsidRDefault="00A21092" w:rsidP="008E3EE8">
            <w:pPr>
              <w:pStyle w:val="Normalweb"/>
              <w:rPr>
                <w:lang w:val="en-US"/>
              </w:rPr>
            </w:pPr>
            <w:r w:rsidRPr="00847A38">
              <w:rPr>
                <w:lang w:val="en-US"/>
              </w:rPr>
              <w:t>2008</w:t>
            </w:r>
          </w:p>
        </w:tc>
        <w:tc>
          <w:tcPr>
            <w:tcW w:w="318" w:type="pct"/>
          </w:tcPr>
          <w:p w14:paraId="4DD8750E" w14:textId="494ACD3C" w:rsidR="00A21092" w:rsidRPr="00847A38" w:rsidRDefault="00A21092" w:rsidP="008E3EE8">
            <w:pPr>
              <w:pStyle w:val="Normalweb"/>
              <w:rPr>
                <w:lang w:val="en-US"/>
              </w:rPr>
            </w:pPr>
            <w:r w:rsidRPr="00847A38">
              <w:rPr>
                <w:lang w:val="en-US"/>
              </w:rPr>
              <w:t>47</w:t>
            </w:r>
          </w:p>
        </w:tc>
        <w:tc>
          <w:tcPr>
            <w:tcW w:w="354" w:type="pct"/>
          </w:tcPr>
          <w:p w14:paraId="040F75E1" w14:textId="77777777" w:rsidR="00A21092" w:rsidRPr="00847A38" w:rsidRDefault="00A21092" w:rsidP="008E3EE8">
            <w:pPr>
              <w:pStyle w:val="Normalweb"/>
              <w:rPr>
                <w:lang w:val="en-US"/>
              </w:rPr>
            </w:pPr>
          </w:p>
        </w:tc>
        <w:tc>
          <w:tcPr>
            <w:tcW w:w="349" w:type="pct"/>
          </w:tcPr>
          <w:p w14:paraId="6029D968" w14:textId="55B05D00" w:rsidR="00A21092" w:rsidRPr="00847A38" w:rsidRDefault="00A21092" w:rsidP="008E3EE8">
            <w:pPr>
              <w:pStyle w:val="Normalweb"/>
              <w:rPr>
                <w:lang w:val="en-US"/>
              </w:rPr>
            </w:pPr>
            <w:r w:rsidRPr="00847A38">
              <w:rPr>
                <w:lang w:val="en-US"/>
              </w:rPr>
              <w:t>47</w:t>
            </w:r>
          </w:p>
        </w:tc>
        <w:tc>
          <w:tcPr>
            <w:tcW w:w="349" w:type="pct"/>
          </w:tcPr>
          <w:p w14:paraId="40864C1D" w14:textId="68588C8E" w:rsidR="00A21092" w:rsidRPr="00847A38" w:rsidRDefault="00A21092" w:rsidP="008E3EE8">
            <w:pPr>
              <w:pStyle w:val="Normalweb"/>
              <w:rPr>
                <w:lang w:val="en-US"/>
              </w:rPr>
            </w:pPr>
            <w:r w:rsidRPr="00847A38">
              <w:rPr>
                <w:lang w:val="en-US"/>
              </w:rPr>
              <w:t>Unknown</w:t>
            </w:r>
          </w:p>
        </w:tc>
        <w:tc>
          <w:tcPr>
            <w:tcW w:w="393" w:type="pct"/>
          </w:tcPr>
          <w:p w14:paraId="7B22CC7F" w14:textId="60B8A894" w:rsidR="00A21092" w:rsidRPr="00847A38" w:rsidRDefault="00A21092" w:rsidP="008E3EE8">
            <w:pPr>
              <w:pStyle w:val="Normalweb"/>
              <w:rPr>
                <w:lang w:val="en-US"/>
              </w:rPr>
            </w:pPr>
            <w:r w:rsidRPr="00847A38">
              <w:rPr>
                <w:lang w:val="en-US"/>
              </w:rPr>
              <w:t>69 (25 yes/11 no)</w:t>
            </w:r>
          </w:p>
        </w:tc>
        <w:tc>
          <w:tcPr>
            <w:tcW w:w="393" w:type="pct"/>
          </w:tcPr>
          <w:p w14:paraId="010C2DC9" w14:textId="06718439" w:rsidR="00A21092" w:rsidRPr="00847A38" w:rsidRDefault="00A21092" w:rsidP="008E3EE8">
            <w:pPr>
              <w:pStyle w:val="Normalweb"/>
              <w:rPr>
                <w:lang w:val="en-US"/>
              </w:rPr>
            </w:pPr>
            <w:r w:rsidRPr="00847A38">
              <w:rPr>
                <w:lang w:val="en-US"/>
              </w:rPr>
              <w:t>Unknown</w:t>
            </w:r>
          </w:p>
        </w:tc>
        <w:tc>
          <w:tcPr>
            <w:tcW w:w="375" w:type="pct"/>
          </w:tcPr>
          <w:p w14:paraId="4B451F0F" w14:textId="073E1974" w:rsidR="00A21092" w:rsidRPr="00847A38" w:rsidRDefault="00A21092" w:rsidP="008E3EE8">
            <w:pPr>
              <w:pStyle w:val="Normalweb"/>
              <w:rPr>
                <w:lang w:val="en-US"/>
              </w:rPr>
            </w:pPr>
            <w:r w:rsidRPr="00847A38">
              <w:rPr>
                <w:lang w:val="en-US"/>
              </w:rPr>
              <w:t>Unknown</w:t>
            </w:r>
          </w:p>
        </w:tc>
        <w:tc>
          <w:tcPr>
            <w:tcW w:w="343" w:type="pct"/>
          </w:tcPr>
          <w:p w14:paraId="35C54E47" w14:textId="4E22C504" w:rsidR="00A21092" w:rsidRPr="00847A38" w:rsidRDefault="00A21092" w:rsidP="008E3EE8">
            <w:pPr>
              <w:pStyle w:val="Normalweb"/>
              <w:rPr>
                <w:lang w:val="en-US"/>
              </w:rPr>
            </w:pPr>
            <w:r w:rsidRPr="00847A38">
              <w:rPr>
                <w:lang w:val="en-US"/>
              </w:rPr>
              <w:t>Unknown</w:t>
            </w:r>
          </w:p>
        </w:tc>
        <w:tc>
          <w:tcPr>
            <w:tcW w:w="329" w:type="pct"/>
          </w:tcPr>
          <w:p w14:paraId="6D58D833" w14:textId="5E11A90D" w:rsidR="00A21092" w:rsidRPr="00847A38" w:rsidRDefault="00A21092" w:rsidP="008E3EE8">
            <w:pPr>
              <w:pStyle w:val="Normalweb"/>
              <w:rPr>
                <w:lang w:val="en-US"/>
              </w:rPr>
            </w:pPr>
            <w:r w:rsidRPr="00847A38">
              <w:rPr>
                <w:lang w:val="en-US"/>
              </w:rPr>
              <w:t>Unknown</w:t>
            </w:r>
          </w:p>
        </w:tc>
        <w:tc>
          <w:tcPr>
            <w:tcW w:w="373" w:type="pct"/>
          </w:tcPr>
          <w:p w14:paraId="2425F484" w14:textId="6EA4B39E" w:rsidR="00A21092" w:rsidRPr="00847A38" w:rsidRDefault="00A21092" w:rsidP="008E3EE8">
            <w:pPr>
              <w:pStyle w:val="Normalweb"/>
              <w:rPr>
                <w:lang w:val="en-US"/>
              </w:rPr>
            </w:pPr>
            <w:r w:rsidRPr="00847A38">
              <w:rPr>
                <w:lang w:val="en-US"/>
              </w:rPr>
              <w:t>Unknown</w:t>
            </w:r>
          </w:p>
        </w:tc>
        <w:tc>
          <w:tcPr>
            <w:tcW w:w="372" w:type="pct"/>
          </w:tcPr>
          <w:p w14:paraId="0391069E" w14:textId="2750E9BD" w:rsidR="00A21092" w:rsidRPr="00847A38" w:rsidRDefault="00A21092" w:rsidP="008E3EE8">
            <w:pPr>
              <w:pStyle w:val="Normalweb"/>
              <w:rPr>
                <w:lang w:val="en-US"/>
              </w:rPr>
            </w:pPr>
            <w:r w:rsidRPr="00847A38">
              <w:rPr>
                <w:lang w:val="en-US"/>
              </w:rPr>
              <w:t>Unknown</w:t>
            </w:r>
          </w:p>
        </w:tc>
        <w:tc>
          <w:tcPr>
            <w:tcW w:w="372" w:type="pct"/>
          </w:tcPr>
          <w:p w14:paraId="046B17A3" w14:textId="208403C3" w:rsidR="00A21092" w:rsidRPr="00847A38" w:rsidRDefault="00A21092" w:rsidP="008E3EE8">
            <w:pPr>
              <w:pStyle w:val="Normalweb"/>
              <w:rPr>
                <w:lang w:val="en-US"/>
              </w:rPr>
            </w:pPr>
            <w:r w:rsidRPr="00847A38">
              <w:rPr>
                <w:lang w:val="en-US"/>
              </w:rPr>
              <w:t>12</w:t>
            </w:r>
          </w:p>
        </w:tc>
      </w:tr>
      <w:tr w:rsidR="00A21092" w:rsidRPr="00847A38" w14:paraId="55CBD181" w14:textId="77777777" w:rsidTr="00A21092">
        <w:trPr>
          <w:divId w:val="1173568863"/>
        </w:trPr>
        <w:tc>
          <w:tcPr>
            <w:tcW w:w="302" w:type="pct"/>
          </w:tcPr>
          <w:p w14:paraId="5DCD3E9E" w14:textId="10E868FB" w:rsidR="00A21092" w:rsidRPr="00847A38" w:rsidRDefault="00A21092" w:rsidP="00E7783F">
            <w:pPr>
              <w:pStyle w:val="Normalweb"/>
              <w:rPr>
                <w:lang w:val="en-US"/>
              </w:rPr>
            </w:pPr>
            <w:r w:rsidRPr="00847A38">
              <w:rPr>
                <w:lang w:val="en-US"/>
              </w:rPr>
              <w:t>Thygesen et al.</w:t>
            </w:r>
            <w:r w:rsidRPr="00847A38">
              <w:rPr>
                <w:lang w:val="en-US"/>
              </w:rPr>
              <w:fldChar w:fldCharType="begin" w:fldLock="1"/>
            </w:r>
            <w:r w:rsidR="00847A38" w:rsidRPr="00847A38">
              <w:rPr>
                <w:lang w:val="en-US"/>
              </w:rPr>
              <w:instrText>ADDIN CSL_CITATION { "citationItems" : [ { "id" : "ITEM-1", "itemData" : { "DOI" : "10.1016/j.joms.2008.07.004", "ISSN" : "1531-5053", "PMID" : "19231776", "abstract" : "PURPOSE: Data on intraoperative risk factors for long-term postoperative complications after Le Fort I osteotomy (LFO) are limited. The aim of this study was to describe prospectively the overall postoperative changes in maxillary nerve function after LFO, and to correlate these changes with a number of possible intraoperative risk factors.\n\nPATIENTS AND METHODS: Twelve men and 13 women (mean +/- standard deviation: aged 25+/-10 years) participated in 4 sessions: 1 before LFO (baseline), and the rest at 3, 6, and 12 months after LFO. At each session, somatosensory sensitivity was assessed for the skin, oral mucosa, and teeth, using quantitative sensory tests at either 1 cutaneous point or on a 5 x 5 point matrix reproduced on the skin. In addition, all patients were asked to report their perceived differences in somatosensory sensitivity and their overall satisfaction with the LFO.\n\nRESULTS: The thresholds of tactile stimuli on the gingiva and palate were increased 12 months after LFO (P&lt; .001). Significant increases in 2-point discrimination detection thresholds (P&lt; .01) and increased sensitivity to heat (P&lt; .01) and cold (P&lt; .001) in the infraorbital region were also recorded 12 months after LFO. Correspondingly, self-reported complaints of changed sensation under the eyes (P&lt; .01), upper lip (P&lt; .01), gingiva (P&lt; .001), palate (P&lt; .01), and teeth (P&lt; .01) were reported during the entire postoperative period. Intraoperative risk factors were identified and correlated with postoperative changes in somatosensory sensitivity. Segmentation of the maxilla was associated with an increase in tactile thresholds at the palate and gingiva (P&lt; .05), as were self-reported complaints involving the palate and gingiva (P&lt; .001), whereas maxillary impaction was related to lower-tooth pulp pain thresholds when compared with maxillary lowering (P&lt; .01). All patients expressed satisfaction with LFO, despite signs of somatosensory disturbances in up to 64% of patients.\n\nCONCLUSION: Numerous changes in postoperative somatosensory function are to be expected after LFO. In most patients, these changes are minor, and some are dependent on intraoperative procedures. Nonetheless, all patients reported satisfaction with the surgical results, and would recommend the procedure to others.", "author" : [ { "dropping-particle" : "", "family" : "Thygesen", "given" : "Torben H", "non-dropping-particle" : "", "parse-names" : false, "suffix" : "" }, { "dropping-particle" : "", "family" : "Bardow", "given" : "Allan", "non-dropping-particle" : "", "parse-names" : false, "suffix" : "" }, { "dropping-particle" : "", "family" : "Norholt", "given" : "Sven Erik", "non-dropping-particle" : "", "parse-names" : false, "suffix" : "" }, { "dropping-particle" : "", "family" : "Jensen", "given" : "John", "non-dropping-particle" : "", "parse-names" : false, "suffix" : "" }, { "dropping-particle" : "", "family" : "Svensson", "given" : "Peter", "non-dropping-particle" : "", "parse-names" : false, "suffix" : "" } ], "container-title" : "Journal of oral and maxillofacial surgery : official journal of the American Association of Oral and Maxillofacial Surgeons", "id" : "ITEM-1", "issue" : "3", "issued" : { "date-parts" : [ [ "2009", "3" ] ] }, "page" : "528-36", "title" : "Surgical risk factors and maxillary nerve function after Le Fort I osteotomy.", "type" : "article-journal", "volume" : "67" }, "uris" : [ "http://www.mendeley.com/documents/?uuid=3eac04d2-1c33-42d5-982c-1f1abb07caa8" ] } ], "mendeley" : { "formattedCitation" : "[32]", "plainTextFormattedCitation" : "[32]", "previouslyFormattedCitation" : "[32]" }, "properties" : { "noteIndex" : 0 }, "schema" : "https://github.com/citation-style-language/schema/raw/master/csl-citation.json" }</w:instrText>
            </w:r>
            <w:r w:rsidRPr="00847A38">
              <w:rPr>
                <w:lang w:val="en-US"/>
              </w:rPr>
              <w:fldChar w:fldCharType="separate"/>
            </w:r>
            <w:r w:rsidR="00847A38" w:rsidRPr="00847A38">
              <w:rPr>
                <w:noProof/>
                <w:lang w:val="en-US"/>
              </w:rPr>
              <w:t>[32]</w:t>
            </w:r>
            <w:r w:rsidRPr="00847A38">
              <w:rPr>
                <w:lang w:val="en-US"/>
              </w:rPr>
              <w:fldChar w:fldCharType="end"/>
            </w:r>
          </w:p>
        </w:tc>
        <w:tc>
          <w:tcPr>
            <w:tcW w:w="378" w:type="pct"/>
          </w:tcPr>
          <w:p w14:paraId="25E812A2" w14:textId="6243658F" w:rsidR="00A21092" w:rsidRPr="00847A38" w:rsidRDefault="00A21092" w:rsidP="008E3EE8">
            <w:pPr>
              <w:pStyle w:val="Normalweb"/>
              <w:rPr>
                <w:lang w:val="en-US"/>
              </w:rPr>
            </w:pPr>
            <w:r w:rsidRPr="00847A38">
              <w:rPr>
                <w:lang w:val="en-US"/>
              </w:rPr>
              <w:t>2009</w:t>
            </w:r>
          </w:p>
        </w:tc>
        <w:tc>
          <w:tcPr>
            <w:tcW w:w="318" w:type="pct"/>
          </w:tcPr>
          <w:p w14:paraId="531FA585" w14:textId="4E9C1929" w:rsidR="00A21092" w:rsidRPr="00847A38" w:rsidRDefault="00A21092" w:rsidP="008E3EE8">
            <w:pPr>
              <w:pStyle w:val="Normalweb"/>
              <w:rPr>
                <w:lang w:val="en-US"/>
              </w:rPr>
            </w:pPr>
            <w:r w:rsidRPr="00847A38">
              <w:rPr>
                <w:lang w:val="en-US"/>
              </w:rPr>
              <w:t>25</w:t>
            </w:r>
          </w:p>
        </w:tc>
        <w:tc>
          <w:tcPr>
            <w:tcW w:w="354" w:type="pct"/>
          </w:tcPr>
          <w:p w14:paraId="001DC2E6" w14:textId="557E0E30" w:rsidR="00A21092" w:rsidRPr="00847A38" w:rsidRDefault="00A21092" w:rsidP="008E3EE8">
            <w:pPr>
              <w:pStyle w:val="Normalweb"/>
              <w:rPr>
                <w:lang w:val="en-US"/>
              </w:rPr>
            </w:pPr>
            <w:r w:rsidRPr="00847A38">
              <w:rPr>
                <w:lang w:val="en-US"/>
              </w:rPr>
              <w:t>25</w:t>
            </w:r>
          </w:p>
        </w:tc>
        <w:tc>
          <w:tcPr>
            <w:tcW w:w="349" w:type="pct"/>
          </w:tcPr>
          <w:p w14:paraId="10CAB465" w14:textId="77777777" w:rsidR="00A21092" w:rsidRPr="00847A38" w:rsidRDefault="00A21092" w:rsidP="008E3EE8">
            <w:pPr>
              <w:pStyle w:val="Normalweb"/>
              <w:rPr>
                <w:lang w:val="en-US"/>
              </w:rPr>
            </w:pPr>
          </w:p>
        </w:tc>
        <w:tc>
          <w:tcPr>
            <w:tcW w:w="349" w:type="pct"/>
          </w:tcPr>
          <w:p w14:paraId="4B773B11" w14:textId="28150704" w:rsidR="00A21092" w:rsidRPr="00847A38" w:rsidRDefault="00A21092" w:rsidP="008E3EE8">
            <w:pPr>
              <w:pStyle w:val="Normalweb"/>
              <w:rPr>
                <w:lang w:val="en-US"/>
              </w:rPr>
            </w:pPr>
            <w:r w:rsidRPr="00847A38">
              <w:rPr>
                <w:lang w:val="en-US"/>
              </w:rPr>
              <w:t>Unknown</w:t>
            </w:r>
          </w:p>
        </w:tc>
        <w:tc>
          <w:tcPr>
            <w:tcW w:w="393" w:type="pct"/>
          </w:tcPr>
          <w:p w14:paraId="3821E21C" w14:textId="3134CDE1" w:rsidR="00A21092" w:rsidRPr="00847A38" w:rsidRDefault="00A21092" w:rsidP="008E3EE8">
            <w:pPr>
              <w:pStyle w:val="Normalweb"/>
              <w:rPr>
                <w:lang w:val="en-US"/>
              </w:rPr>
            </w:pPr>
            <w:r w:rsidRPr="00847A38">
              <w:rPr>
                <w:lang w:val="en-US"/>
              </w:rPr>
              <w:t>7-60</w:t>
            </w:r>
          </w:p>
        </w:tc>
        <w:tc>
          <w:tcPr>
            <w:tcW w:w="393" w:type="pct"/>
          </w:tcPr>
          <w:p w14:paraId="06EC1D8C" w14:textId="4BEA304F" w:rsidR="00A21092" w:rsidRPr="00847A38" w:rsidRDefault="00A21092" w:rsidP="008E3EE8">
            <w:pPr>
              <w:pStyle w:val="Normalweb"/>
              <w:rPr>
                <w:lang w:val="en-US"/>
              </w:rPr>
            </w:pPr>
            <w:r w:rsidRPr="00847A38">
              <w:rPr>
                <w:lang w:val="en-US"/>
              </w:rPr>
              <w:t>Unknown</w:t>
            </w:r>
          </w:p>
        </w:tc>
        <w:tc>
          <w:tcPr>
            <w:tcW w:w="375" w:type="pct"/>
          </w:tcPr>
          <w:p w14:paraId="2B364161" w14:textId="746327EB" w:rsidR="00A21092" w:rsidRPr="00847A38" w:rsidRDefault="00A21092" w:rsidP="008E3EE8">
            <w:pPr>
              <w:pStyle w:val="Normalweb"/>
              <w:rPr>
                <w:lang w:val="en-US"/>
              </w:rPr>
            </w:pPr>
            <w:r w:rsidRPr="00847A38">
              <w:rPr>
                <w:lang w:val="en-US"/>
              </w:rPr>
              <w:t>Unknown</w:t>
            </w:r>
          </w:p>
        </w:tc>
        <w:tc>
          <w:tcPr>
            <w:tcW w:w="343" w:type="pct"/>
          </w:tcPr>
          <w:p w14:paraId="5B76DE95" w14:textId="26ECF921" w:rsidR="00A21092" w:rsidRPr="00847A38" w:rsidRDefault="00A21092" w:rsidP="008E3EE8">
            <w:pPr>
              <w:pStyle w:val="Normalweb"/>
              <w:rPr>
                <w:lang w:val="en-US"/>
              </w:rPr>
            </w:pPr>
            <w:r w:rsidRPr="00847A38">
              <w:rPr>
                <w:lang w:val="en-US"/>
              </w:rPr>
              <w:t>Unknown</w:t>
            </w:r>
          </w:p>
        </w:tc>
        <w:tc>
          <w:tcPr>
            <w:tcW w:w="329" w:type="pct"/>
          </w:tcPr>
          <w:p w14:paraId="7A45EABE" w14:textId="668F3ADA" w:rsidR="00A21092" w:rsidRPr="00847A38" w:rsidRDefault="00A21092" w:rsidP="008E3EE8">
            <w:pPr>
              <w:pStyle w:val="Normalweb"/>
              <w:rPr>
                <w:lang w:val="en-US"/>
              </w:rPr>
            </w:pPr>
            <w:r w:rsidRPr="00847A38">
              <w:rPr>
                <w:lang w:val="en-US"/>
              </w:rPr>
              <w:t>Unknown</w:t>
            </w:r>
          </w:p>
        </w:tc>
        <w:tc>
          <w:tcPr>
            <w:tcW w:w="373" w:type="pct"/>
          </w:tcPr>
          <w:p w14:paraId="3D9AB3EC" w14:textId="3F8BA970" w:rsidR="00A21092" w:rsidRPr="00847A38" w:rsidRDefault="00A21092" w:rsidP="008E3EE8">
            <w:pPr>
              <w:pStyle w:val="Normalweb"/>
              <w:rPr>
                <w:lang w:val="en-US"/>
              </w:rPr>
            </w:pPr>
            <w:r w:rsidRPr="00847A38">
              <w:rPr>
                <w:lang w:val="en-US"/>
              </w:rPr>
              <w:t>Unknown</w:t>
            </w:r>
          </w:p>
        </w:tc>
        <w:tc>
          <w:tcPr>
            <w:tcW w:w="372" w:type="pct"/>
          </w:tcPr>
          <w:p w14:paraId="34AC27A9" w14:textId="6623C13D" w:rsidR="00A21092" w:rsidRPr="00847A38" w:rsidRDefault="00A21092" w:rsidP="008E3EE8">
            <w:pPr>
              <w:pStyle w:val="Normalweb"/>
              <w:rPr>
                <w:lang w:val="en-US"/>
              </w:rPr>
            </w:pPr>
            <w:r w:rsidRPr="00847A38">
              <w:rPr>
                <w:lang w:val="en-US"/>
              </w:rPr>
              <w:t>Unknown</w:t>
            </w:r>
          </w:p>
        </w:tc>
        <w:tc>
          <w:tcPr>
            <w:tcW w:w="372" w:type="pct"/>
          </w:tcPr>
          <w:p w14:paraId="674B7B73" w14:textId="6DB78668" w:rsidR="00A21092" w:rsidRPr="00847A38" w:rsidRDefault="00A21092" w:rsidP="008E3EE8">
            <w:pPr>
              <w:pStyle w:val="Normalweb"/>
              <w:rPr>
                <w:lang w:val="en-US"/>
              </w:rPr>
            </w:pPr>
            <w:r w:rsidRPr="00847A38">
              <w:rPr>
                <w:lang w:val="en-US"/>
              </w:rPr>
              <w:t>12</w:t>
            </w:r>
          </w:p>
        </w:tc>
      </w:tr>
      <w:tr w:rsidR="00A21092" w:rsidRPr="00847A38" w14:paraId="0CC88F7E" w14:textId="77777777" w:rsidTr="00A21092">
        <w:trPr>
          <w:divId w:val="1173568863"/>
        </w:trPr>
        <w:tc>
          <w:tcPr>
            <w:tcW w:w="302" w:type="pct"/>
          </w:tcPr>
          <w:p w14:paraId="64A19555" w14:textId="5DD34120" w:rsidR="00A21092" w:rsidRPr="00847A38" w:rsidRDefault="002C1D17" w:rsidP="002C1D17">
            <w:pPr>
              <w:pStyle w:val="Normalweb"/>
              <w:rPr>
                <w:lang w:val="en-US"/>
              </w:rPr>
            </w:pPr>
            <w:r w:rsidRPr="00847A38">
              <w:rPr>
                <w:lang w:val="en-US"/>
              </w:rPr>
              <w:t>Spaey et al.</w:t>
            </w:r>
            <w:r w:rsidRPr="00847A38">
              <w:rPr>
                <w:lang w:val="en-US"/>
              </w:rPr>
              <w:fldChar w:fldCharType="begin" w:fldLock="1"/>
            </w:r>
            <w:r w:rsidR="00847A38" w:rsidRPr="00847A38">
              <w:rPr>
                <w:lang w:val="en-US"/>
              </w:rPr>
              <w:instrText>ADDIN CSL_CITATION { "citationItems" : [ { "id" : "ITEM-1", "itemData" : { "DOI" : "10.1016/j.jcms.2004.06.008", "ISSN" : "1010-5182", "PMID" : "15694146", "abstract" : "AIM: According to an earlier study in 2000, 4.7% of patients undergoing corrective facial orthopaedic surgery in this unit suffered a postoperative wound infection. In 1998, the Belgian Government recommended stricter rules for infection prophylaxis and a new antibiotic protocol similar to that proposed by Peterson (1990) was implemented in this unit. The new protocol was to be evaluated.\\n\\nMATERIAL AND METHODS: Eight hundred and ten consecutive patients were selected receiving orthognathic surgery (Le Fort I-type osteotomies, sagittal split osteotomies, segmental and chin osteotomies). Cefazolin 1g was administered intravenously on induction of general anaesthesia and repeated at 4h intervals for the duration of surgery. No antibiotics were administered postoperatively. The observation period was 6 weeks. When an infection occurred, appropriate culture specimens were obtained according to a standardized protocol.\\n\\nRESULTS: Fifty-one infections (6.8%) were diagnosed, 33 with purulent exudates occurring spontaneously or after incision and drainage. Ninety-two per cent of these infections occurred in the sagittal split area, 6% in the maxillary region and 2% in the chin region. Infections in the sagittal split area were further analysed. A reduction in infection rate from 6.6 to 2.6% was noted following a change in practice when fibrin glue was used in the wound instead of a drain in the sagittal split wound. Of the 30 aerobic cultures, 12 contained normal mucosal flora, of which 9 were Streptococcus species. In 11 of the 30 anaerobic cultures the identified species belonged to the Bacteroides group. This bacterium is resistant to cefazolin but sensitive to amoxicillin-clavulanate and for a high percentage also to clindamycin. All the other cultures were sterile.\\n\\nCONCLUSION: The infections occurring almost exclusively in the sagittal split osteotomy site can be partially explained by wound contamination upon removal of the drain. It is suggested that for prophylaxis cefazolin is replaced by amoxicillin-clavulanate.", "author" : [ { "dropping-particle" : "", "family" : "Spaey", "given" : "Yannick J E", "non-dropping-particle" : "", "parse-names" : false, "suffix" : "" }, { "dropping-particle" : "", "family" : "Bettens", "given" : "Rolf M a", "non-dropping-particle" : "", "parse-names" : false, "suffix" : "" }, { "dropping-particle" : "", "family" : "Mommaerts", "given" : "Maurice Y", "non-dropping-particle" : "", "parse-names" : false, "suffix" : "" }, { "dropping-particle" : "", "family" : "Adriaens", "given" : "Jo", "non-dropping-particle" : "", "parse-names" : false, "suffix" : "" }, { "dropping-particle" : "", "family" : "Landuyt", "given" : "Herman W", "non-dropping-particle" : "Van", "parse-names" : false, "suffix" : "" }, { "dropping-particle" : "", "family" : "Abeloos", "given" : "Johan V S", "non-dropping-particle" : "", "parse-names" : false, "suffix" : "" }, { "dropping-particle" : "", "family" : "Clercq", "given" : "Calix a S", "non-dropping-particle" : "De", "parse-names" : false, "suffix" : "" }, { "dropping-particle" : "", "family" : "Lamoral", "given" : "Philippe R B", "non-dropping-particle" : "", "parse-names" : false, "suffix" : "" }, { "dropping-particle" : "", "family" : "Neyt", "given" : "Luc F", "non-dropping-particle" : "", "parse-names" : false, "suffix" : "" } ], "container-title" : "Journal of cranio-maxillo-facial surgery : official publication of the European Association for Cranio-Maxillo-Facial Surgery", "id" : "ITEM-1", "issue" : "1", "issued" : { "date-parts" : [ [ "2005" ] ] }, "page" : "24-9", "title" : "A prospective study on infectious complications in orthognathic surgery.", "type" : "article-journal", "volume" : "33" }, "uris" : [ "http://www.mendeley.com/documents/?uuid=5d865f13-17f8-4f64-86f7-bcc3a163d33c" ] } ], "mendeley" : { "formattedCitation" : "[33]", "plainTextFormattedCitation" : "[33]", "previouslyFormattedCitation" : "[33]" }, "properties" : { "noteIndex" : 0 }, "schema" : "https://github.com/citation-style-language/schema/raw/master/csl-citation.json" }</w:instrText>
            </w:r>
            <w:r w:rsidRPr="00847A38">
              <w:rPr>
                <w:lang w:val="en-US"/>
              </w:rPr>
              <w:fldChar w:fldCharType="separate"/>
            </w:r>
            <w:r w:rsidR="00847A38" w:rsidRPr="00847A38">
              <w:rPr>
                <w:noProof/>
                <w:lang w:val="en-US"/>
              </w:rPr>
              <w:t>[33]</w:t>
            </w:r>
            <w:r w:rsidRPr="00847A38">
              <w:rPr>
                <w:lang w:val="en-US"/>
              </w:rPr>
              <w:fldChar w:fldCharType="end"/>
            </w:r>
          </w:p>
        </w:tc>
        <w:tc>
          <w:tcPr>
            <w:tcW w:w="378" w:type="pct"/>
          </w:tcPr>
          <w:p w14:paraId="25EADA69" w14:textId="739C5FAD" w:rsidR="00A21092" w:rsidRPr="00847A38" w:rsidRDefault="00A21092" w:rsidP="008E3EE8">
            <w:pPr>
              <w:pStyle w:val="Normalweb"/>
              <w:rPr>
                <w:lang w:val="en-US"/>
              </w:rPr>
            </w:pPr>
            <w:r w:rsidRPr="00847A38">
              <w:rPr>
                <w:lang w:val="en-US"/>
              </w:rPr>
              <w:t>2005</w:t>
            </w:r>
          </w:p>
        </w:tc>
        <w:tc>
          <w:tcPr>
            <w:tcW w:w="318" w:type="pct"/>
          </w:tcPr>
          <w:p w14:paraId="3DC9C3A3" w14:textId="510F77B1" w:rsidR="00A21092" w:rsidRPr="00847A38" w:rsidRDefault="00A21092" w:rsidP="008E3EE8">
            <w:pPr>
              <w:pStyle w:val="Normalweb"/>
              <w:rPr>
                <w:lang w:val="en-US"/>
              </w:rPr>
            </w:pPr>
            <w:r w:rsidRPr="00847A38">
              <w:rPr>
                <w:lang w:val="en-US"/>
              </w:rPr>
              <w:t>810</w:t>
            </w:r>
          </w:p>
        </w:tc>
        <w:tc>
          <w:tcPr>
            <w:tcW w:w="354" w:type="pct"/>
          </w:tcPr>
          <w:p w14:paraId="006327B9" w14:textId="7C87D177" w:rsidR="00A21092" w:rsidRPr="00847A38" w:rsidRDefault="0065543E" w:rsidP="008E3EE8">
            <w:pPr>
              <w:pStyle w:val="Normalweb"/>
              <w:rPr>
                <w:lang w:val="en-US"/>
              </w:rPr>
            </w:pPr>
            <w:r w:rsidRPr="00847A38">
              <w:rPr>
                <w:lang w:val="en-US"/>
              </w:rPr>
              <w:t>275</w:t>
            </w:r>
          </w:p>
        </w:tc>
        <w:tc>
          <w:tcPr>
            <w:tcW w:w="349" w:type="pct"/>
          </w:tcPr>
          <w:p w14:paraId="76F7A012" w14:textId="1FD65501" w:rsidR="00A21092" w:rsidRPr="00847A38" w:rsidRDefault="0065543E" w:rsidP="008E3EE8">
            <w:pPr>
              <w:pStyle w:val="Normalweb"/>
              <w:rPr>
                <w:lang w:val="en-US"/>
              </w:rPr>
            </w:pPr>
            <w:r w:rsidRPr="00847A38">
              <w:rPr>
                <w:lang w:val="en-US"/>
              </w:rPr>
              <w:t>1236</w:t>
            </w:r>
          </w:p>
        </w:tc>
        <w:tc>
          <w:tcPr>
            <w:tcW w:w="349" w:type="pct"/>
          </w:tcPr>
          <w:p w14:paraId="14C4D7C4" w14:textId="05358FED" w:rsidR="00A21092" w:rsidRPr="00847A38" w:rsidRDefault="00A21092" w:rsidP="008E3EE8">
            <w:pPr>
              <w:pStyle w:val="Normalweb"/>
              <w:rPr>
                <w:lang w:val="en-US"/>
              </w:rPr>
            </w:pPr>
            <w:r w:rsidRPr="00847A38">
              <w:rPr>
                <w:lang w:val="en-US"/>
              </w:rPr>
              <w:t>7</w:t>
            </w:r>
          </w:p>
        </w:tc>
        <w:tc>
          <w:tcPr>
            <w:tcW w:w="393" w:type="pct"/>
          </w:tcPr>
          <w:p w14:paraId="5E963A6A" w14:textId="6EF34F82" w:rsidR="00A21092" w:rsidRPr="00847A38" w:rsidRDefault="00A21092" w:rsidP="008E3EE8">
            <w:pPr>
              <w:pStyle w:val="Normalweb"/>
              <w:rPr>
                <w:lang w:val="en-US"/>
              </w:rPr>
            </w:pPr>
            <w:r w:rsidRPr="00847A38">
              <w:rPr>
                <w:lang w:val="en-US"/>
              </w:rPr>
              <w:t>Unknown</w:t>
            </w:r>
          </w:p>
        </w:tc>
        <w:tc>
          <w:tcPr>
            <w:tcW w:w="393" w:type="pct"/>
          </w:tcPr>
          <w:p w14:paraId="444BE7E6" w14:textId="724C29FA" w:rsidR="00A21092" w:rsidRPr="00847A38" w:rsidRDefault="00A21092" w:rsidP="008E3EE8">
            <w:pPr>
              <w:pStyle w:val="Normalweb"/>
              <w:rPr>
                <w:lang w:val="en-US"/>
              </w:rPr>
            </w:pPr>
            <w:r w:rsidRPr="00847A38">
              <w:rPr>
                <w:lang w:val="en-US"/>
              </w:rPr>
              <w:t>Unknown</w:t>
            </w:r>
          </w:p>
        </w:tc>
        <w:tc>
          <w:tcPr>
            <w:tcW w:w="375" w:type="pct"/>
          </w:tcPr>
          <w:p w14:paraId="2F0C31E8" w14:textId="1AFF45BB" w:rsidR="00A21092" w:rsidRPr="00847A38" w:rsidRDefault="00A21092" w:rsidP="008E3EE8">
            <w:pPr>
              <w:pStyle w:val="Normalweb"/>
              <w:rPr>
                <w:lang w:val="en-US"/>
              </w:rPr>
            </w:pPr>
            <w:r w:rsidRPr="00847A38">
              <w:rPr>
                <w:lang w:val="en-US"/>
              </w:rPr>
              <w:t>Unknown</w:t>
            </w:r>
          </w:p>
        </w:tc>
        <w:tc>
          <w:tcPr>
            <w:tcW w:w="343" w:type="pct"/>
          </w:tcPr>
          <w:p w14:paraId="01E35279" w14:textId="6C1E362F" w:rsidR="00A21092" w:rsidRPr="00847A38" w:rsidRDefault="00A21092" w:rsidP="008E3EE8">
            <w:pPr>
              <w:pStyle w:val="Normalweb"/>
              <w:rPr>
                <w:lang w:val="en-US"/>
              </w:rPr>
            </w:pPr>
            <w:r w:rsidRPr="00847A38">
              <w:rPr>
                <w:lang w:val="en-US"/>
              </w:rPr>
              <w:t>Unknown</w:t>
            </w:r>
          </w:p>
        </w:tc>
        <w:tc>
          <w:tcPr>
            <w:tcW w:w="329" w:type="pct"/>
          </w:tcPr>
          <w:p w14:paraId="08DFA07C" w14:textId="1FD1A2F3" w:rsidR="00A21092" w:rsidRPr="00847A38" w:rsidRDefault="00A21092" w:rsidP="008E3EE8">
            <w:pPr>
              <w:pStyle w:val="Normalweb"/>
              <w:rPr>
                <w:lang w:val="en-US"/>
              </w:rPr>
            </w:pPr>
            <w:r w:rsidRPr="00847A38">
              <w:rPr>
                <w:lang w:val="en-US"/>
              </w:rPr>
              <w:t>Unknown</w:t>
            </w:r>
          </w:p>
        </w:tc>
        <w:tc>
          <w:tcPr>
            <w:tcW w:w="373" w:type="pct"/>
          </w:tcPr>
          <w:p w14:paraId="463D55C3" w14:textId="6BEFFD09" w:rsidR="00A21092" w:rsidRPr="00847A38" w:rsidRDefault="00A21092" w:rsidP="008E3EE8">
            <w:pPr>
              <w:pStyle w:val="Normalweb"/>
              <w:rPr>
                <w:lang w:val="en-US"/>
              </w:rPr>
            </w:pPr>
            <w:r w:rsidRPr="00847A38">
              <w:rPr>
                <w:lang w:val="en-US"/>
              </w:rPr>
              <w:t>Unknown</w:t>
            </w:r>
          </w:p>
        </w:tc>
        <w:tc>
          <w:tcPr>
            <w:tcW w:w="372" w:type="pct"/>
          </w:tcPr>
          <w:p w14:paraId="30557EEF" w14:textId="04B9293D" w:rsidR="00A21092" w:rsidRPr="00847A38" w:rsidRDefault="00A21092" w:rsidP="008E3EE8">
            <w:pPr>
              <w:pStyle w:val="Normalweb"/>
              <w:rPr>
                <w:lang w:val="en-US"/>
              </w:rPr>
            </w:pPr>
            <w:r w:rsidRPr="00847A38">
              <w:rPr>
                <w:lang w:val="en-US"/>
              </w:rPr>
              <w:t>Unknown</w:t>
            </w:r>
          </w:p>
        </w:tc>
        <w:tc>
          <w:tcPr>
            <w:tcW w:w="372" w:type="pct"/>
          </w:tcPr>
          <w:p w14:paraId="061C7531" w14:textId="4B7A5D2E" w:rsidR="00A21092" w:rsidRPr="00847A38" w:rsidRDefault="00A21092" w:rsidP="008E3EE8">
            <w:pPr>
              <w:pStyle w:val="Normalweb"/>
              <w:rPr>
                <w:lang w:val="en-US"/>
              </w:rPr>
            </w:pPr>
            <w:r w:rsidRPr="00847A38">
              <w:rPr>
                <w:lang w:val="en-US"/>
              </w:rPr>
              <w:t>1.3</w:t>
            </w:r>
          </w:p>
        </w:tc>
      </w:tr>
    </w:tbl>
    <w:p w14:paraId="053C3779" w14:textId="2A8F0238" w:rsidR="000557CD" w:rsidRPr="00847A38" w:rsidRDefault="000557CD" w:rsidP="002C1D17">
      <w:pPr>
        <w:pStyle w:val="Normalweb"/>
        <w:divId w:val="1173568863"/>
        <w:rPr>
          <w:lang w:val="en-US"/>
        </w:rPr>
      </w:pPr>
    </w:p>
    <w:tbl>
      <w:tblPr>
        <w:tblStyle w:val="Tabelgitter"/>
        <w:tblpPr w:leftFromText="141" w:rightFromText="141" w:vertAnchor="page" w:horzAnchor="page" w:tblpX="2350" w:tblpY="1855"/>
        <w:tblW w:w="0" w:type="auto"/>
        <w:tblLook w:val="04A0" w:firstRow="1" w:lastRow="0" w:firstColumn="1" w:lastColumn="0" w:noHBand="0" w:noVBand="1"/>
      </w:tblPr>
      <w:tblGrid>
        <w:gridCol w:w="2162"/>
        <w:gridCol w:w="1275"/>
      </w:tblGrid>
      <w:tr w:rsidR="008E5D20" w:rsidRPr="00847A38" w14:paraId="5D57F04D" w14:textId="77777777" w:rsidTr="008E5D20">
        <w:tc>
          <w:tcPr>
            <w:tcW w:w="2162" w:type="dxa"/>
            <w:shd w:val="clear" w:color="auto" w:fill="8DB3E2" w:themeFill="text2" w:themeFillTint="66"/>
          </w:tcPr>
          <w:p w14:paraId="2D2F25FB" w14:textId="77777777" w:rsidR="008E5D20" w:rsidRPr="00847A38" w:rsidRDefault="008E5D20" w:rsidP="008E5D20">
            <w:pPr>
              <w:pStyle w:val="Normalweb"/>
              <w:rPr>
                <w:lang w:val="en-US"/>
              </w:rPr>
            </w:pPr>
            <w:r w:rsidRPr="00847A38">
              <w:rPr>
                <w:lang w:val="en-US"/>
              </w:rPr>
              <w:t>Complications</w:t>
            </w:r>
          </w:p>
        </w:tc>
        <w:tc>
          <w:tcPr>
            <w:tcW w:w="1275" w:type="dxa"/>
            <w:shd w:val="clear" w:color="auto" w:fill="8DB3E2" w:themeFill="text2" w:themeFillTint="66"/>
          </w:tcPr>
          <w:p w14:paraId="04D0E7C4" w14:textId="77777777" w:rsidR="008E5D20" w:rsidRPr="00847A38" w:rsidRDefault="008E5D20" w:rsidP="008E5D20">
            <w:pPr>
              <w:pStyle w:val="Normalweb"/>
              <w:rPr>
                <w:lang w:val="en-US"/>
              </w:rPr>
            </w:pPr>
            <w:r w:rsidRPr="00847A38">
              <w:rPr>
                <w:lang w:val="en-US"/>
              </w:rPr>
              <w:t>Percentage</w:t>
            </w:r>
          </w:p>
        </w:tc>
      </w:tr>
      <w:tr w:rsidR="008E5D20" w:rsidRPr="00847A38" w14:paraId="18C7C3DF" w14:textId="77777777" w:rsidTr="008E5D20">
        <w:tc>
          <w:tcPr>
            <w:tcW w:w="2162" w:type="dxa"/>
          </w:tcPr>
          <w:p w14:paraId="11AAB4F8" w14:textId="77777777" w:rsidR="008E5D20" w:rsidRPr="00847A38" w:rsidRDefault="008E5D20" w:rsidP="008E5D20">
            <w:pPr>
              <w:pStyle w:val="Normalweb"/>
              <w:rPr>
                <w:lang w:val="en-US"/>
              </w:rPr>
            </w:pPr>
            <w:r w:rsidRPr="00847A38">
              <w:rPr>
                <w:lang w:val="en-US"/>
              </w:rPr>
              <w:t>Infection</w:t>
            </w:r>
          </w:p>
        </w:tc>
        <w:tc>
          <w:tcPr>
            <w:tcW w:w="1275" w:type="dxa"/>
          </w:tcPr>
          <w:p w14:paraId="5CED5AF8" w14:textId="77777777" w:rsidR="008E5D20" w:rsidRPr="00847A38" w:rsidRDefault="008E5D20" w:rsidP="008E5D20">
            <w:pPr>
              <w:pStyle w:val="Normalweb"/>
              <w:rPr>
                <w:lang w:val="en-US"/>
              </w:rPr>
            </w:pPr>
            <w:r w:rsidRPr="00847A38">
              <w:rPr>
                <w:lang w:val="en-US"/>
              </w:rPr>
              <w:t>2-7%</w:t>
            </w:r>
          </w:p>
        </w:tc>
      </w:tr>
      <w:tr w:rsidR="008E5D20" w:rsidRPr="00847A38" w14:paraId="65A5C6FB" w14:textId="77777777" w:rsidTr="008E5D20">
        <w:tc>
          <w:tcPr>
            <w:tcW w:w="2162" w:type="dxa"/>
          </w:tcPr>
          <w:p w14:paraId="42B20B71" w14:textId="77777777" w:rsidR="008E5D20" w:rsidRPr="00847A38" w:rsidRDefault="008E5D20" w:rsidP="008E5D20">
            <w:pPr>
              <w:pStyle w:val="Normalweb"/>
              <w:rPr>
                <w:lang w:val="en-US"/>
              </w:rPr>
            </w:pPr>
            <w:r w:rsidRPr="00847A38">
              <w:rPr>
                <w:lang w:val="en-US"/>
              </w:rPr>
              <w:t>Nerve injuries</w:t>
            </w:r>
          </w:p>
        </w:tc>
        <w:tc>
          <w:tcPr>
            <w:tcW w:w="1275" w:type="dxa"/>
          </w:tcPr>
          <w:p w14:paraId="436DC831" w14:textId="77777777" w:rsidR="008E5D20" w:rsidRPr="00847A38" w:rsidRDefault="008E5D20" w:rsidP="008E5D20">
            <w:pPr>
              <w:pStyle w:val="Normalweb"/>
              <w:rPr>
                <w:lang w:val="en-US"/>
              </w:rPr>
            </w:pPr>
            <w:r w:rsidRPr="00847A38">
              <w:rPr>
                <w:lang w:val="en-US"/>
              </w:rPr>
              <w:t>2-69%</w:t>
            </w:r>
          </w:p>
        </w:tc>
      </w:tr>
      <w:tr w:rsidR="008E5D20" w:rsidRPr="00847A38" w14:paraId="41649951" w14:textId="77777777" w:rsidTr="008E5D20">
        <w:tc>
          <w:tcPr>
            <w:tcW w:w="2162" w:type="dxa"/>
          </w:tcPr>
          <w:p w14:paraId="23CF7A74" w14:textId="77777777" w:rsidR="008E5D20" w:rsidRPr="00847A38" w:rsidRDefault="008E5D20" w:rsidP="008E5D20">
            <w:pPr>
              <w:pStyle w:val="Normalweb"/>
              <w:rPr>
                <w:lang w:val="en-US"/>
              </w:rPr>
            </w:pPr>
            <w:r w:rsidRPr="00847A38">
              <w:rPr>
                <w:lang w:val="en-US"/>
              </w:rPr>
              <w:t>TMJ dysfunction</w:t>
            </w:r>
          </w:p>
        </w:tc>
        <w:tc>
          <w:tcPr>
            <w:tcW w:w="1275" w:type="dxa"/>
          </w:tcPr>
          <w:p w14:paraId="699983DD" w14:textId="77777777" w:rsidR="008E5D20" w:rsidRPr="00847A38" w:rsidRDefault="008E5D20" w:rsidP="008E5D20">
            <w:pPr>
              <w:pStyle w:val="Normalweb"/>
              <w:rPr>
                <w:lang w:val="en-US"/>
              </w:rPr>
            </w:pPr>
            <w:r w:rsidRPr="00847A38">
              <w:rPr>
                <w:lang w:val="en-US"/>
              </w:rPr>
              <w:t>11-29%</w:t>
            </w:r>
          </w:p>
        </w:tc>
      </w:tr>
      <w:tr w:rsidR="008E5D20" w:rsidRPr="00847A38" w14:paraId="64DFA2CD" w14:textId="77777777" w:rsidTr="008E5D20">
        <w:tc>
          <w:tcPr>
            <w:tcW w:w="2162" w:type="dxa"/>
          </w:tcPr>
          <w:p w14:paraId="4B5A7EB5" w14:textId="77777777" w:rsidR="008E5D20" w:rsidRPr="00847A38" w:rsidRDefault="008E5D20" w:rsidP="008E5D20">
            <w:pPr>
              <w:pStyle w:val="Normalweb"/>
              <w:rPr>
                <w:lang w:val="en-US"/>
              </w:rPr>
            </w:pPr>
            <w:r w:rsidRPr="00847A38">
              <w:rPr>
                <w:lang w:val="en-US"/>
              </w:rPr>
              <w:t>Fractures</w:t>
            </w:r>
          </w:p>
        </w:tc>
        <w:tc>
          <w:tcPr>
            <w:tcW w:w="1275" w:type="dxa"/>
          </w:tcPr>
          <w:p w14:paraId="69BBCE20" w14:textId="77777777" w:rsidR="008E5D20" w:rsidRPr="00847A38" w:rsidRDefault="008E5D20" w:rsidP="008E5D20">
            <w:pPr>
              <w:pStyle w:val="Normalweb"/>
              <w:rPr>
                <w:lang w:val="en-US"/>
              </w:rPr>
            </w:pPr>
            <w:r w:rsidRPr="00847A38">
              <w:rPr>
                <w:lang w:val="en-US"/>
              </w:rPr>
              <w:t>1%</w:t>
            </w:r>
          </w:p>
        </w:tc>
      </w:tr>
      <w:tr w:rsidR="008E5D20" w:rsidRPr="00847A38" w14:paraId="01951788" w14:textId="77777777" w:rsidTr="008E5D20">
        <w:tc>
          <w:tcPr>
            <w:tcW w:w="2162" w:type="dxa"/>
          </w:tcPr>
          <w:p w14:paraId="72757201" w14:textId="77777777" w:rsidR="008E5D20" w:rsidRPr="00847A38" w:rsidRDefault="008E5D20" w:rsidP="008E5D20">
            <w:pPr>
              <w:pStyle w:val="Normalweb"/>
              <w:rPr>
                <w:lang w:val="en-US"/>
              </w:rPr>
            </w:pPr>
            <w:r w:rsidRPr="00847A38">
              <w:rPr>
                <w:lang w:val="en-US"/>
              </w:rPr>
              <w:t>Condylar resorption</w:t>
            </w:r>
          </w:p>
        </w:tc>
        <w:tc>
          <w:tcPr>
            <w:tcW w:w="1275" w:type="dxa"/>
          </w:tcPr>
          <w:p w14:paraId="1EA380E8" w14:textId="77777777" w:rsidR="008E5D20" w:rsidRPr="00847A38" w:rsidRDefault="008E5D20" w:rsidP="008E5D20">
            <w:pPr>
              <w:pStyle w:val="Normalweb"/>
              <w:rPr>
                <w:lang w:val="en-US"/>
              </w:rPr>
            </w:pPr>
            <w:r w:rsidRPr="00847A38">
              <w:rPr>
                <w:lang w:val="en-US"/>
              </w:rPr>
              <w:t>11%</w:t>
            </w:r>
          </w:p>
        </w:tc>
      </w:tr>
      <w:tr w:rsidR="008E5D20" w:rsidRPr="00847A38" w14:paraId="02F083D5" w14:textId="77777777" w:rsidTr="008E5D20">
        <w:tc>
          <w:tcPr>
            <w:tcW w:w="2162" w:type="dxa"/>
          </w:tcPr>
          <w:p w14:paraId="4FB46850" w14:textId="77777777" w:rsidR="008E5D20" w:rsidRPr="00847A38" w:rsidRDefault="008E5D20" w:rsidP="008E5D20">
            <w:pPr>
              <w:pStyle w:val="Normalweb"/>
              <w:rPr>
                <w:lang w:val="en-US"/>
              </w:rPr>
            </w:pPr>
            <w:r w:rsidRPr="00847A38">
              <w:rPr>
                <w:lang w:val="en-US"/>
              </w:rPr>
              <w:t>Relapse</w:t>
            </w:r>
          </w:p>
        </w:tc>
        <w:tc>
          <w:tcPr>
            <w:tcW w:w="1275" w:type="dxa"/>
          </w:tcPr>
          <w:p w14:paraId="5712AFD6" w14:textId="77777777" w:rsidR="008E5D20" w:rsidRPr="00847A38" w:rsidRDefault="008E5D20" w:rsidP="008E5D20">
            <w:pPr>
              <w:pStyle w:val="Normalweb"/>
              <w:rPr>
                <w:lang w:val="en-US"/>
              </w:rPr>
            </w:pPr>
            <w:r w:rsidRPr="00847A38">
              <w:rPr>
                <w:lang w:val="en-US"/>
              </w:rPr>
              <w:t>11%</w:t>
            </w:r>
          </w:p>
        </w:tc>
      </w:tr>
    </w:tbl>
    <w:p w14:paraId="15781916" w14:textId="272D5187" w:rsidR="008E5D20" w:rsidRPr="00761CDC" w:rsidRDefault="008E5D20" w:rsidP="00761CDC">
      <w:pPr>
        <w:widowControl w:val="0"/>
        <w:autoSpaceDE w:val="0"/>
        <w:autoSpaceDN w:val="0"/>
        <w:adjustRightInd w:val="0"/>
        <w:spacing w:after="140"/>
        <w:ind w:left="640" w:hanging="640"/>
      </w:pPr>
      <w:r w:rsidRPr="008E5D20">
        <w:rPr>
          <w:rFonts w:ascii="Times" w:hAnsi="Times"/>
          <w:i/>
          <w:sz w:val="20"/>
          <w:szCs w:val="20"/>
          <w:lang w:val="en-US"/>
        </w:rPr>
        <w:t xml:space="preserve"> Table 6: </w:t>
      </w:r>
      <w:r w:rsidRPr="008E5D20">
        <w:rPr>
          <w:rFonts w:ascii="Times" w:hAnsi="Times"/>
          <w:sz w:val="20"/>
          <w:szCs w:val="20"/>
          <w:lang w:val="en-US"/>
        </w:rPr>
        <w:t>Complications following OS.</w:t>
      </w:r>
      <w:bookmarkStart w:id="0" w:name="_GoBack"/>
      <w:bookmarkEnd w:id="0"/>
    </w:p>
    <w:sectPr w:rsidR="008E5D20" w:rsidRPr="00761CDC" w:rsidSect="00A31A13">
      <w:pgSz w:w="16840" w:h="11900" w:orient="landscape"/>
      <w:pgMar w:top="1134"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C51A9"/>
    <w:multiLevelType w:val="hybridMultilevel"/>
    <w:tmpl w:val="163E86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905"/>
    <w:rsid w:val="000032EF"/>
    <w:rsid w:val="000557CD"/>
    <w:rsid w:val="000B1105"/>
    <w:rsid w:val="000C3882"/>
    <w:rsid w:val="000E0CF7"/>
    <w:rsid w:val="00160417"/>
    <w:rsid w:val="001835DE"/>
    <w:rsid w:val="00197200"/>
    <w:rsid w:val="001B504A"/>
    <w:rsid w:val="001C1A1F"/>
    <w:rsid w:val="001D120C"/>
    <w:rsid w:val="00204DF9"/>
    <w:rsid w:val="00211BAE"/>
    <w:rsid w:val="002169D9"/>
    <w:rsid w:val="002228D3"/>
    <w:rsid w:val="002520CD"/>
    <w:rsid w:val="002646DD"/>
    <w:rsid w:val="00287662"/>
    <w:rsid w:val="0029684A"/>
    <w:rsid w:val="002B5B49"/>
    <w:rsid w:val="002C1D17"/>
    <w:rsid w:val="002E6FCE"/>
    <w:rsid w:val="0030222C"/>
    <w:rsid w:val="00305C39"/>
    <w:rsid w:val="00355E1D"/>
    <w:rsid w:val="003769FF"/>
    <w:rsid w:val="003F4E18"/>
    <w:rsid w:val="0041315B"/>
    <w:rsid w:val="004222C9"/>
    <w:rsid w:val="00471905"/>
    <w:rsid w:val="00486376"/>
    <w:rsid w:val="004C1444"/>
    <w:rsid w:val="004D20F3"/>
    <w:rsid w:val="004E3A8D"/>
    <w:rsid w:val="00555A40"/>
    <w:rsid w:val="00575EC1"/>
    <w:rsid w:val="0059014D"/>
    <w:rsid w:val="005A6D6F"/>
    <w:rsid w:val="005C1777"/>
    <w:rsid w:val="005C66C0"/>
    <w:rsid w:val="005E0E52"/>
    <w:rsid w:val="006121B1"/>
    <w:rsid w:val="0065543E"/>
    <w:rsid w:val="0068053F"/>
    <w:rsid w:val="006F5988"/>
    <w:rsid w:val="00723E19"/>
    <w:rsid w:val="00761CDC"/>
    <w:rsid w:val="00780CD8"/>
    <w:rsid w:val="007A01C2"/>
    <w:rsid w:val="00822CC4"/>
    <w:rsid w:val="00847A38"/>
    <w:rsid w:val="00863641"/>
    <w:rsid w:val="00865587"/>
    <w:rsid w:val="00866C13"/>
    <w:rsid w:val="00876AA7"/>
    <w:rsid w:val="008918BF"/>
    <w:rsid w:val="008C4AAB"/>
    <w:rsid w:val="008E3EE8"/>
    <w:rsid w:val="008E5D20"/>
    <w:rsid w:val="008F06D4"/>
    <w:rsid w:val="0090703F"/>
    <w:rsid w:val="009A6B9E"/>
    <w:rsid w:val="009E5824"/>
    <w:rsid w:val="00A21092"/>
    <w:rsid w:val="00A27A27"/>
    <w:rsid w:val="00A31A13"/>
    <w:rsid w:val="00A717DA"/>
    <w:rsid w:val="00A94931"/>
    <w:rsid w:val="00AA706F"/>
    <w:rsid w:val="00AD29D9"/>
    <w:rsid w:val="00B20810"/>
    <w:rsid w:val="00B259F6"/>
    <w:rsid w:val="00B34E17"/>
    <w:rsid w:val="00B90C30"/>
    <w:rsid w:val="00B9379B"/>
    <w:rsid w:val="00B964F1"/>
    <w:rsid w:val="00C01BFC"/>
    <w:rsid w:val="00C27585"/>
    <w:rsid w:val="00C61E5C"/>
    <w:rsid w:val="00CD0DB5"/>
    <w:rsid w:val="00CE4DE0"/>
    <w:rsid w:val="00CF5D80"/>
    <w:rsid w:val="00D13F5B"/>
    <w:rsid w:val="00D210B9"/>
    <w:rsid w:val="00D31019"/>
    <w:rsid w:val="00D70881"/>
    <w:rsid w:val="00DE2ADC"/>
    <w:rsid w:val="00E1047C"/>
    <w:rsid w:val="00E27031"/>
    <w:rsid w:val="00E7783F"/>
    <w:rsid w:val="00E83B9A"/>
    <w:rsid w:val="00E8479A"/>
    <w:rsid w:val="00F261C5"/>
    <w:rsid w:val="00F63BE0"/>
    <w:rsid w:val="00F77DD7"/>
    <w:rsid w:val="00FB0AC2"/>
    <w:rsid w:val="00FB4466"/>
    <w:rsid w:val="00FD0A02"/>
    <w:rsid w:val="00FD562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18F5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gitter">
    <w:name w:val="Table Grid"/>
    <w:basedOn w:val="Tabel-Normal"/>
    <w:uiPriority w:val="59"/>
    <w:rsid w:val="004719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71905"/>
    <w:pPr>
      <w:spacing w:before="100" w:beforeAutospacing="1" w:after="100" w:afterAutospacing="1"/>
    </w:pPr>
    <w:rPr>
      <w:rFonts w:ascii="Times" w:hAnsi="Times" w:cs="Times New Roman"/>
      <w:sz w:val="20"/>
      <w:szCs w:val="20"/>
    </w:rPr>
  </w:style>
  <w:style w:type="paragraph" w:styleId="Markeringsbobletekst">
    <w:name w:val="Balloon Text"/>
    <w:basedOn w:val="Normal"/>
    <w:link w:val="MarkeringsbobletekstTegn"/>
    <w:uiPriority w:val="99"/>
    <w:semiHidden/>
    <w:unhideWhenUsed/>
    <w:rsid w:val="008918BF"/>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918BF"/>
    <w:rPr>
      <w:rFonts w:ascii="Lucida Grande" w:hAnsi="Lucida Grande" w:cs="Lucida Grande"/>
      <w:sz w:val="18"/>
      <w:szCs w:val="18"/>
    </w:rPr>
  </w:style>
  <w:style w:type="paragraph" w:styleId="Listeafsnit">
    <w:name w:val="List Paragraph"/>
    <w:basedOn w:val="Normal"/>
    <w:uiPriority w:val="34"/>
    <w:qFormat/>
    <w:rsid w:val="00575E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gitter">
    <w:name w:val="Table Grid"/>
    <w:basedOn w:val="Tabel-Normal"/>
    <w:uiPriority w:val="59"/>
    <w:rsid w:val="004719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71905"/>
    <w:pPr>
      <w:spacing w:before="100" w:beforeAutospacing="1" w:after="100" w:afterAutospacing="1"/>
    </w:pPr>
    <w:rPr>
      <w:rFonts w:ascii="Times" w:hAnsi="Times" w:cs="Times New Roman"/>
      <w:sz w:val="20"/>
      <w:szCs w:val="20"/>
    </w:rPr>
  </w:style>
  <w:style w:type="paragraph" w:styleId="Markeringsbobletekst">
    <w:name w:val="Balloon Text"/>
    <w:basedOn w:val="Normal"/>
    <w:link w:val="MarkeringsbobletekstTegn"/>
    <w:uiPriority w:val="99"/>
    <w:semiHidden/>
    <w:unhideWhenUsed/>
    <w:rsid w:val="008918BF"/>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918BF"/>
    <w:rPr>
      <w:rFonts w:ascii="Lucida Grande" w:hAnsi="Lucida Grande" w:cs="Lucida Grande"/>
      <w:sz w:val="18"/>
      <w:szCs w:val="18"/>
    </w:rPr>
  </w:style>
  <w:style w:type="paragraph" w:styleId="Listeafsnit">
    <w:name w:val="List Paragraph"/>
    <w:basedOn w:val="Normal"/>
    <w:uiPriority w:val="34"/>
    <w:qFormat/>
    <w:rsid w:val="00575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166533">
      <w:bodyDiv w:val="1"/>
      <w:marLeft w:val="0"/>
      <w:marRight w:val="0"/>
      <w:marTop w:val="0"/>
      <w:marBottom w:val="0"/>
      <w:divBdr>
        <w:top w:val="none" w:sz="0" w:space="0" w:color="auto"/>
        <w:left w:val="none" w:sz="0" w:space="0" w:color="auto"/>
        <w:bottom w:val="none" w:sz="0" w:space="0" w:color="auto"/>
        <w:right w:val="none" w:sz="0" w:space="0" w:color="auto"/>
      </w:divBdr>
      <w:divsChild>
        <w:div w:id="114180001">
          <w:marLeft w:val="0"/>
          <w:marRight w:val="0"/>
          <w:marTop w:val="0"/>
          <w:marBottom w:val="0"/>
          <w:divBdr>
            <w:top w:val="none" w:sz="0" w:space="0" w:color="auto"/>
            <w:left w:val="none" w:sz="0" w:space="0" w:color="auto"/>
            <w:bottom w:val="none" w:sz="0" w:space="0" w:color="auto"/>
            <w:right w:val="none" w:sz="0" w:space="0" w:color="auto"/>
          </w:divBdr>
          <w:divsChild>
            <w:div w:id="331304371">
              <w:marLeft w:val="0"/>
              <w:marRight w:val="0"/>
              <w:marTop w:val="0"/>
              <w:marBottom w:val="0"/>
              <w:divBdr>
                <w:top w:val="none" w:sz="0" w:space="0" w:color="auto"/>
                <w:left w:val="none" w:sz="0" w:space="0" w:color="auto"/>
                <w:bottom w:val="none" w:sz="0" w:space="0" w:color="auto"/>
                <w:right w:val="none" w:sz="0" w:space="0" w:color="auto"/>
              </w:divBdr>
              <w:divsChild>
                <w:div w:id="11735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14586</Words>
  <Characters>88981</Characters>
  <Application>Microsoft Macintosh Word</Application>
  <DocSecurity>0</DocSecurity>
  <Lines>741</Lines>
  <Paragraphs>206</Paragraphs>
  <ScaleCrop>false</ScaleCrop>
  <Company/>
  <LinksUpToDate>false</LinksUpToDate>
  <CharactersWithSpaces>103361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Kjaergaard</dc:creator>
  <cp:keywords/>
  <dc:description/>
  <cp:lastModifiedBy>Marie Kjaergaard</cp:lastModifiedBy>
  <cp:revision>3</cp:revision>
  <dcterms:created xsi:type="dcterms:W3CDTF">2016-03-30T10:13:00Z</dcterms:created>
  <dcterms:modified xsi:type="dcterms:W3CDTF">2016-03-30T10:14:00Z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mkjaergaard@me.com@www.mendeley.com</vt:lpwstr>
  </property>
  <property fmtid="{D5CDD505-2E9C-101B-9397-08002B2CF9AE}" pid="4" name="Mendeley Citation Style_1">
    <vt:lpwstr>http://www.zotero.org/styles/journal-of-oral-and-maxillofacial-surgery-medicine-and-pathology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http://www.zotero.org/styles/journal-of-oral-and-maxillofacial-surgery-medicine-and-pathology</vt:lpwstr>
  </property>
  <property fmtid="{D5CDD505-2E9C-101B-9397-08002B2CF9AE}" pid="18" name="Mendeley Recent Style Name 6_1">
    <vt:lpwstr>Journal of Oral and Maxillofacial Surgery, Medicine, and Pathology</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