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577FF" w14:textId="77777777" w:rsidR="00C04C28" w:rsidRPr="00275551" w:rsidRDefault="00C04C28" w:rsidP="00C04C28">
      <w:pPr>
        <w:widowControl/>
        <w:autoSpaceDE/>
        <w:autoSpaceDN/>
        <w:adjustRightInd/>
        <w:spacing w:after="160" w:line="259" w:lineRule="auto"/>
        <w:rPr>
          <w:rFonts w:asciiTheme="minorHAnsi" w:eastAsia="Calibri" w:hAnsiTheme="minorHAnsi" w:cs="Latha"/>
          <w:color w:val="auto"/>
          <w:sz w:val="40"/>
          <w:szCs w:val="40"/>
          <w:lang w:val="en-GB"/>
        </w:rPr>
      </w:pPr>
      <w:r w:rsidRPr="00275551">
        <w:rPr>
          <w:rFonts w:asciiTheme="minorHAnsi" w:eastAsia="Calibri" w:hAnsiTheme="minorHAnsi" w:cs="Latha"/>
          <w:color w:val="auto"/>
          <w:sz w:val="40"/>
          <w:szCs w:val="40"/>
          <w:lang w:val="en-IN"/>
        </w:rPr>
        <w:t>IMPACT OF ORAL HYGIENE INSTRUCTIONS IN THE MAINTENANCE OF PERIODONTAL HEALTH OF PATIENTS</w:t>
      </w:r>
    </w:p>
    <w:p w14:paraId="26696F71" w14:textId="77777777" w:rsidR="00C04C28" w:rsidRPr="00275551" w:rsidRDefault="00C04C28" w:rsidP="00C04C28">
      <w:pPr>
        <w:widowControl/>
        <w:autoSpaceDE/>
        <w:autoSpaceDN/>
        <w:adjustRightInd/>
        <w:spacing w:after="160" w:line="259" w:lineRule="auto"/>
        <w:rPr>
          <w:rFonts w:asciiTheme="minorHAnsi" w:eastAsia="Calibri" w:hAnsiTheme="minorHAnsi" w:cs="Latha"/>
          <w:color w:val="auto"/>
          <w:sz w:val="40"/>
          <w:szCs w:val="40"/>
          <w:lang w:val="en-GB"/>
        </w:rPr>
      </w:pPr>
    </w:p>
    <w:p w14:paraId="35E51AEB" w14:textId="6A361BAB" w:rsidR="00C04C28" w:rsidRPr="00C065A7" w:rsidRDefault="00C065A7" w:rsidP="00C04C28">
      <w:pPr>
        <w:widowControl/>
        <w:autoSpaceDE/>
        <w:autoSpaceDN/>
        <w:adjustRightInd/>
        <w:spacing w:after="160" w:line="259" w:lineRule="auto"/>
        <w:rPr>
          <w:rFonts w:asciiTheme="minorHAnsi" w:eastAsia="Calibri" w:hAnsiTheme="minorHAnsi" w:cs="Latha"/>
          <w:color w:val="auto"/>
          <w:sz w:val="32"/>
          <w:szCs w:val="32"/>
          <w:lang w:val="en-GB"/>
        </w:rPr>
      </w:pPr>
      <w:r w:rsidRPr="00C065A7">
        <w:rPr>
          <w:rFonts w:asciiTheme="minorHAnsi" w:eastAsia="Calibri" w:hAnsiTheme="minorHAnsi" w:cs="Latha"/>
          <w:color w:val="auto"/>
          <w:sz w:val="32"/>
          <w:szCs w:val="32"/>
          <w:lang w:val="en-GB"/>
        </w:rPr>
        <w:t>ABSTRACT</w:t>
      </w:r>
    </w:p>
    <w:p w14:paraId="31466D2F" w14:textId="77777777" w:rsidR="00C04C28" w:rsidRPr="00275551" w:rsidRDefault="00C04C28" w:rsidP="00CF3F38">
      <w:pPr>
        <w:widowControl/>
        <w:autoSpaceDE/>
        <w:autoSpaceDN/>
        <w:adjustRightInd/>
        <w:spacing w:after="160" w:line="259" w:lineRule="auto"/>
        <w:rPr>
          <w:rFonts w:asciiTheme="minorHAnsi" w:eastAsia="Calibri" w:hAnsiTheme="minorHAnsi" w:cs="Latha"/>
          <w:color w:val="auto"/>
          <w:sz w:val="28"/>
          <w:szCs w:val="28"/>
          <w:lang w:val="en-IN"/>
        </w:rPr>
      </w:pPr>
      <w:r w:rsidRPr="00275551">
        <w:rPr>
          <w:rFonts w:asciiTheme="minorHAnsi" w:eastAsia="Calibri" w:hAnsiTheme="minorHAnsi" w:cs="Latha"/>
          <w:color w:val="auto"/>
          <w:sz w:val="32"/>
          <w:szCs w:val="32"/>
          <w:lang w:val="en-IN"/>
        </w:rPr>
        <w:t>AIM</w:t>
      </w:r>
      <w:r w:rsidRPr="00275551">
        <w:rPr>
          <w:rFonts w:asciiTheme="minorHAnsi" w:eastAsia="Calibri" w:hAnsiTheme="minorHAnsi" w:cs="Latha"/>
          <w:color w:val="auto"/>
          <w:sz w:val="28"/>
          <w:szCs w:val="28"/>
          <w:lang w:val="en-IN"/>
        </w:rPr>
        <w:t xml:space="preserve">: To determine </w:t>
      </w:r>
      <w:r w:rsidRPr="00275551">
        <w:rPr>
          <w:rFonts w:asciiTheme="minorHAnsi" w:eastAsia="Calibri" w:hAnsiTheme="minorHAnsi" w:cs="Latha"/>
          <w:color w:val="auto"/>
          <w:sz w:val="28"/>
          <w:szCs w:val="28"/>
          <w:lang w:val="en-GB"/>
        </w:rPr>
        <w:t xml:space="preserve">whether </w:t>
      </w:r>
      <w:r w:rsidRPr="00275551">
        <w:rPr>
          <w:rFonts w:asciiTheme="minorHAnsi" w:eastAsia="Calibri" w:hAnsiTheme="minorHAnsi" w:cs="Latha"/>
          <w:color w:val="auto"/>
          <w:sz w:val="28"/>
          <w:szCs w:val="28"/>
          <w:lang w:val="en-IN"/>
        </w:rPr>
        <w:t xml:space="preserve">the effect of oral hygiene instruction </w:t>
      </w:r>
      <w:r w:rsidRPr="00275551">
        <w:rPr>
          <w:rFonts w:asciiTheme="minorHAnsi" w:eastAsia="Calibri" w:hAnsiTheme="minorHAnsi" w:cs="Latha"/>
          <w:color w:val="auto"/>
          <w:sz w:val="28"/>
          <w:szCs w:val="28"/>
          <w:lang w:val="en-GB"/>
        </w:rPr>
        <w:t>is an additive or adjunct in</w:t>
      </w:r>
      <w:r w:rsidRPr="00275551">
        <w:rPr>
          <w:rFonts w:asciiTheme="minorHAnsi" w:eastAsia="Calibri" w:hAnsiTheme="minorHAnsi" w:cs="Latha"/>
          <w:color w:val="auto"/>
          <w:sz w:val="28"/>
          <w:szCs w:val="28"/>
          <w:lang w:val="en-IN"/>
        </w:rPr>
        <w:t xml:space="preserve"> the maintenance of periodontal health of patients. </w:t>
      </w:r>
    </w:p>
    <w:p w14:paraId="75D7664F" w14:textId="664FB9AA" w:rsidR="00C04C28" w:rsidRPr="00275551" w:rsidRDefault="00C04C28" w:rsidP="00CF3F38">
      <w:pPr>
        <w:widowControl/>
        <w:autoSpaceDE/>
        <w:autoSpaceDN/>
        <w:adjustRightInd/>
        <w:spacing w:after="160" w:line="259" w:lineRule="auto"/>
        <w:rPr>
          <w:rFonts w:asciiTheme="minorHAnsi" w:eastAsia="Calibri" w:hAnsiTheme="minorHAnsi" w:cs="Latha"/>
          <w:color w:val="auto"/>
          <w:sz w:val="28"/>
          <w:szCs w:val="28"/>
          <w:lang w:val="en-GB"/>
        </w:rPr>
      </w:pPr>
      <w:r w:rsidRPr="00275551">
        <w:rPr>
          <w:rFonts w:asciiTheme="minorHAnsi" w:eastAsia="Calibri" w:hAnsiTheme="minorHAnsi" w:cs="Latha"/>
          <w:color w:val="auto"/>
          <w:sz w:val="32"/>
          <w:szCs w:val="32"/>
          <w:lang w:val="en-IN"/>
        </w:rPr>
        <w:t>OBJECTIVE</w:t>
      </w:r>
      <w:r w:rsidRPr="00275551">
        <w:rPr>
          <w:rFonts w:asciiTheme="minorHAnsi" w:eastAsia="Calibri" w:hAnsiTheme="minorHAnsi" w:cs="Latha"/>
          <w:color w:val="auto"/>
          <w:sz w:val="28"/>
          <w:szCs w:val="28"/>
          <w:lang w:val="en-IN"/>
        </w:rPr>
        <w:t>: The objective of the study was to compare the difference</w:t>
      </w:r>
      <w:r w:rsidR="00A13738" w:rsidRPr="00275551">
        <w:rPr>
          <w:rFonts w:asciiTheme="minorHAnsi" w:eastAsia="Calibri" w:hAnsiTheme="minorHAnsi" w:cs="Latha"/>
          <w:color w:val="auto"/>
          <w:sz w:val="28"/>
          <w:szCs w:val="28"/>
          <w:lang w:val="en-IN"/>
        </w:rPr>
        <w:t xml:space="preserve"> among</w:t>
      </w:r>
      <w:r w:rsidRPr="00275551">
        <w:rPr>
          <w:rFonts w:asciiTheme="minorHAnsi" w:eastAsia="Calibri" w:hAnsiTheme="minorHAnsi" w:cs="Latha"/>
          <w:color w:val="auto"/>
          <w:sz w:val="28"/>
          <w:szCs w:val="28"/>
          <w:lang w:val="en-IN"/>
        </w:rPr>
        <w:t xml:space="preserve"> oral hygiene instructions given</w:t>
      </w:r>
      <w:r w:rsidR="00A13738" w:rsidRPr="00275551">
        <w:rPr>
          <w:rFonts w:asciiTheme="minorHAnsi" w:eastAsia="Calibri" w:hAnsiTheme="minorHAnsi" w:cs="Latha"/>
          <w:color w:val="auto"/>
          <w:sz w:val="28"/>
          <w:szCs w:val="28"/>
          <w:lang w:val="en-GB"/>
        </w:rPr>
        <w:t xml:space="preserve"> through videos or </w:t>
      </w:r>
      <w:r w:rsidRPr="00275551">
        <w:rPr>
          <w:rFonts w:asciiTheme="minorHAnsi" w:eastAsia="Calibri" w:hAnsiTheme="minorHAnsi" w:cs="Latha"/>
          <w:color w:val="auto"/>
          <w:sz w:val="28"/>
          <w:szCs w:val="28"/>
          <w:lang w:val="en-GB"/>
        </w:rPr>
        <w:t xml:space="preserve">orally versus no instructions given </w:t>
      </w:r>
      <w:r w:rsidR="00A13738" w:rsidRPr="00275551">
        <w:rPr>
          <w:rFonts w:asciiTheme="minorHAnsi" w:eastAsia="Calibri" w:hAnsiTheme="minorHAnsi" w:cs="Latha"/>
          <w:color w:val="auto"/>
          <w:sz w:val="28"/>
          <w:szCs w:val="28"/>
          <w:lang w:val="en-GB"/>
        </w:rPr>
        <w:t xml:space="preserve">among group of subjects after scaling and root planning. </w:t>
      </w:r>
    </w:p>
    <w:p w14:paraId="637CD46A" w14:textId="69C7749E" w:rsidR="00C04C28" w:rsidRPr="00275551" w:rsidRDefault="00C04C28" w:rsidP="00C04C28">
      <w:pPr>
        <w:widowControl/>
        <w:autoSpaceDE/>
        <w:autoSpaceDN/>
        <w:adjustRightInd/>
        <w:spacing w:after="160" w:line="259" w:lineRule="auto"/>
        <w:rPr>
          <w:rFonts w:asciiTheme="minorHAnsi" w:eastAsia="Calibri" w:hAnsiTheme="minorHAnsi" w:cs="Latha"/>
          <w:color w:val="auto"/>
          <w:sz w:val="28"/>
          <w:szCs w:val="28"/>
          <w:lang w:val="en-GB"/>
        </w:rPr>
      </w:pPr>
      <w:r w:rsidRPr="00275551">
        <w:rPr>
          <w:rFonts w:asciiTheme="minorHAnsi" w:eastAsia="Calibri" w:hAnsiTheme="minorHAnsi" w:cs="Latha"/>
          <w:color w:val="auto"/>
          <w:sz w:val="32"/>
          <w:szCs w:val="32"/>
          <w:lang w:val="en-IN"/>
        </w:rPr>
        <w:t>BA</w:t>
      </w:r>
      <w:r w:rsidR="00A13738" w:rsidRPr="00275551">
        <w:rPr>
          <w:rFonts w:asciiTheme="minorHAnsi" w:eastAsia="Calibri" w:hAnsiTheme="minorHAnsi" w:cs="Latha"/>
          <w:color w:val="auto"/>
          <w:sz w:val="32"/>
          <w:szCs w:val="32"/>
          <w:lang w:val="en-IN"/>
        </w:rPr>
        <w:t>CKGROUND</w:t>
      </w:r>
      <w:r w:rsidR="00A13738" w:rsidRPr="00275551">
        <w:rPr>
          <w:rFonts w:asciiTheme="minorHAnsi" w:eastAsia="Calibri" w:hAnsiTheme="minorHAnsi" w:cs="Latha"/>
          <w:color w:val="auto"/>
          <w:sz w:val="28"/>
          <w:szCs w:val="28"/>
          <w:lang w:val="en-IN"/>
        </w:rPr>
        <w:t>: Periodontal disease are</w:t>
      </w:r>
      <w:r w:rsidRPr="00275551">
        <w:rPr>
          <w:rFonts w:asciiTheme="minorHAnsi" w:eastAsia="Calibri" w:hAnsiTheme="minorHAnsi" w:cs="Latha"/>
          <w:color w:val="auto"/>
          <w:sz w:val="28"/>
          <w:szCs w:val="28"/>
          <w:lang w:val="en-IN"/>
        </w:rPr>
        <w:t xml:space="preserve"> </w:t>
      </w:r>
      <w:r w:rsidRPr="00275551">
        <w:rPr>
          <w:rFonts w:asciiTheme="minorHAnsi" w:eastAsia="Calibri" w:hAnsiTheme="minorHAnsi" w:cs="Latha"/>
          <w:color w:val="auto"/>
          <w:sz w:val="28"/>
          <w:szCs w:val="28"/>
          <w:lang w:val="en-GB"/>
        </w:rPr>
        <w:t>one of the major dental diseases affecting the oral health</w:t>
      </w:r>
      <w:r w:rsidRPr="00275551">
        <w:rPr>
          <w:rFonts w:asciiTheme="minorHAnsi" w:eastAsia="Calibri" w:hAnsiTheme="minorHAnsi" w:cs="Latha"/>
          <w:color w:val="auto"/>
          <w:sz w:val="28"/>
          <w:szCs w:val="28"/>
          <w:lang w:val="en-IN"/>
        </w:rPr>
        <w:t xml:space="preserve">. </w:t>
      </w:r>
      <w:r w:rsidR="00A13738" w:rsidRPr="00275551">
        <w:rPr>
          <w:rFonts w:asciiTheme="minorHAnsi" w:eastAsia="Calibri" w:hAnsiTheme="minorHAnsi" w:cs="Latha"/>
          <w:color w:val="auto"/>
          <w:sz w:val="28"/>
          <w:szCs w:val="28"/>
          <w:lang w:val="en-GB"/>
        </w:rPr>
        <w:t>It was the major reason</w:t>
      </w:r>
      <w:r w:rsidRPr="00275551">
        <w:rPr>
          <w:rFonts w:asciiTheme="minorHAnsi" w:eastAsia="Calibri" w:hAnsiTheme="minorHAnsi" w:cs="Latha"/>
          <w:color w:val="auto"/>
          <w:sz w:val="28"/>
          <w:szCs w:val="28"/>
          <w:lang w:val="en-GB"/>
        </w:rPr>
        <w:t xml:space="preserve"> for tooth loss in adults.</w:t>
      </w:r>
      <w:r w:rsidR="00352A56" w:rsidRPr="00275551">
        <w:rPr>
          <w:rFonts w:asciiTheme="minorHAnsi" w:eastAsia="Calibri" w:hAnsiTheme="minorHAnsi" w:cs="Latha"/>
          <w:color w:val="auto"/>
          <w:sz w:val="28"/>
          <w:szCs w:val="28"/>
          <w:lang w:val="en-GB"/>
        </w:rPr>
        <w:t xml:space="preserve"> Success of periodontal</w:t>
      </w:r>
      <w:r w:rsidRPr="00275551">
        <w:rPr>
          <w:rFonts w:asciiTheme="minorHAnsi" w:eastAsia="Calibri" w:hAnsiTheme="minorHAnsi" w:cs="Latha"/>
          <w:color w:val="auto"/>
          <w:sz w:val="28"/>
          <w:szCs w:val="28"/>
          <w:lang w:val="en-GB"/>
        </w:rPr>
        <w:t xml:space="preserve"> </w:t>
      </w:r>
      <w:r w:rsidR="00352A56" w:rsidRPr="00275551">
        <w:rPr>
          <w:rFonts w:asciiTheme="minorHAnsi" w:eastAsia="Calibri" w:hAnsiTheme="minorHAnsi" w:cs="Latha"/>
          <w:color w:val="auto"/>
          <w:sz w:val="28"/>
          <w:szCs w:val="28"/>
          <w:lang w:val="en-IN"/>
        </w:rPr>
        <w:t>t</w:t>
      </w:r>
      <w:r w:rsidRPr="00275551">
        <w:rPr>
          <w:rFonts w:asciiTheme="minorHAnsi" w:eastAsia="Calibri" w:hAnsiTheme="minorHAnsi" w:cs="Latha"/>
          <w:color w:val="auto"/>
          <w:sz w:val="28"/>
          <w:szCs w:val="28"/>
          <w:lang w:val="en-IN"/>
        </w:rPr>
        <w:t>re</w:t>
      </w:r>
      <w:r w:rsidR="00352A56" w:rsidRPr="00275551">
        <w:rPr>
          <w:rFonts w:asciiTheme="minorHAnsi" w:eastAsia="Calibri" w:hAnsiTheme="minorHAnsi" w:cs="Latha"/>
          <w:color w:val="auto"/>
          <w:sz w:val="28"/>
          <w:szCs w:val="28"/>
          <w:lang w:val="en-IN"/>
        </w:rPr>
        <w:t>atment are based on effective oral care</w:t>
      </w:r>
      <w:r w:rsidRPr="00275551">
        <w:rPr>
          <w:rFonts w:asciiTheme="minorHAnsi" w:eastAsia="Calibri" w:hAnsiTheme="minorHAnsi" w:cs="Latha"/>
          <w:color w:val="auto"/>
          <w:sz w:val="28"/>
          <w:szCs w:val="28"/>
          <w:lang w:val="en-GB"/>
        </w:rPr>
        <w:t xml:space="preserve">. </w:t>
      </w:r>
      <w:r w:rsidRPr="00275551">
        <w:rPr>
          <w:rFonts w:asciiTheme="minorHAnsi" w:eastAsia="Calibri" w:hAnsiTheme="minorHAnsi" w:cs="Latha"/>
          <w:color w:val="auto"/>
          <w:sz w:val="28"/>
          <w:szCs w:val="28"/>
          <w:lang w:val="en-IN"/>
        </w:rPr>
        <w:t>Improp</w:t>
      </w:r>
      <w:r w:rsidR="00352A56" w:rsidRPr="00275551">
        <w:rPr>
          <w:rFonts w:asciiTheme="minorHAnsi" w:eastAsia="Calibri" w:hAnsiTheme="minorHAnsi" w:cs="Latha"/>
          <w:color w:val="auto"/>
          <w:sz w:val="28"/>
          <w:szCs w:val="28"/>
          <w:lang w:val="en-IN"/>
        </w:rPr>
        <w:t>er maintenance can cause recurrence</w:t>
      </w:r>
      <w:r w:rsidRPr="00275551">
        <w:rPr>
          <w:rFonts w:asciiTheme="minorHAnsi" w:eastAsia="Calibri" w:hAnsiTheme="minorHAnsi" w:cs="Latha"/>
          <w:color w:val="auto"/>
          <w:sz w:val="28"/>
          <w:szCs w:val="28"/>
          <w:lang w:val="en-IN"/>
        </w:rPr>
        <w:t xml:space="preserve"> of the disease.</w:t>
      </w:r>
      <w:r w:rsidR="00352A56" w:rsidRPr="00275551">
        <w:rPr>
          <w:rFonts w:asciiTheme="minorHAnsi" w:eastAsia="Calibri" w:hAnsiTheme="minorHAnsi" w:cs="Latha"/>
          <w:color w:val="auto"/>
          <w:sz w:val="28"/>
          <w:szCs w:val="28"/>
          <w:lang w:val="en-IN"/>
        </w:rPr>
        <w:t xml:space="preserve"> Group I were</w:t>
      </w:r>
      <w:r w:rsidR="00CD11E0" w:rsidRPr="00275551">
        <w:rPr>
          <w:rFonts w:asciiTheme="minorHAnsi" w:eastAsia="Calibri" w:hAnsiTheme="minorHAnsi" w:cs="Latha"/>
          <w:color w:val="auto"/>
          <w:sz w:val="28"/>
          <w:szCs w:val="28"/>
          <w:lang w:val="en-IN"/>
        </w:rPr>
        <w:t xml:space="preserve"> </w:t>
      </w:r>
      <w:r w:rsidR="00352A56" w:rsidRPr="00275551">
        <w:rPr>
          <w:rFonts w:asciiTheme="minorHAnsi" w:eastAsia="Calibri" w:hAnsiTheme="minorHAnsi" w:cs="Latha"/>
          <w:color w:val="auto"/>
          <w:sz w:val="28"/>
          <w:szCs w:val="28"/>
          <w:lang w:val="en-IN"/>
        </w:rPr>
        <w:t>given instructions through videos</w:t>
      </w:r>
      <w:r w:rsidR="00CD11E0" w:rsidRPr="00275551">
        <w:rPr>
          <w:rFonts w:asciiTheme="minorHAnsi" w:eastAsia="Calibri" w:hAnsiTheme="minorHAnsi" w:cs="Latha"/>
          <w:color w:val="auto"/>
          <w:sz w:val="28"/>
          <w:szCs w:val="28"/>
          <w:lang w:val="en-IN"/>
        </w:rPr>
        <w:t>, Group II were given oral instructions and group III were not given any instructions.</w:t>
      </w:r>
      <w:r w:rsidR="00352A56" w:rsidRPr="00275551">
        <w:rPr>
          <w:rFonts w:asciiTheme="minorHAnsi" w:eastAsia="Calibri" w:hAnsiTheme="minorHAnsi" w:cs="Latha"/>
          <w:color w:val="auto"/>
          <w:sz w:val="28"/>
          <w:szCs w:val="28"/>
          <w:lang w:val="en-IN"/>
        </w:rPr>
        <w:t xml:space="preserve"> </w:t>
      </w:r>
      <w:r w:rsidRPr="00275551">
        <w:rPr>
          <w:rFonts w:asciiTheme="minorHAnsi" w:eastAsia="Calibri" w:hAnsiTheme="minorHAnsi" w:cs="Latha"/>
          <w:color w:val="auto"/>
          <w:sz w:val="28"/>
          <w:szCs w:val="28"/>
          <w:lang w:val="en-IN"/>
        </w:rPr>
        <w:t xml:space="preserve"> </w:t>
      </w:r>
    </w:p>
    <w:p w14:paraId="64560D82" w14:textId="728934FF" w:rsidR="00275551" w:rsidRDefault="00C04C28" w:rsidP="00C04C28">
      <w:pPr>
        <w:widowControl/>
        <w:autoSpaceDE/>
        <w:autoSpaceDN/>
        <w:adjustRightInd/>
        <w:spacing w:after="160" w:line="259" w:lineRule="auto"/>
        <w:rPr>
          <w:rFonts w:asciiTheme="minorHAnsi" w:eastAsia="Calibri" w:hAnsiTheme="minorHAnsi" w:cs="Latha"/>
          <w:color w:val="auto"/>
          <w:sz w:val="28"/>
          <w:szCs w:val="28"/>
          <w:lang w:val="en-GB"/>
        </w:rPr>
      </w:pPr>
      <w:r w:rsidRPr="00275551">
        <w:rPr>
          <w:rFonts w:asciiTheme="minorHAnsi" w:eastAsia="Calibri" w:hAnsiTheme="minorHAnsi" w:cs="Latha"/>
          <w:color w:val="auto"/>
          <w:sz w:val="32"/>
          <w:szCs w:val="32"/>
          <w:lang w:val="en-IN"/>
        </w:rPr>
        <w:t>REASON:</w:t>
      </w:r>
      <w:r w:rsidRPr="00275551">
        <w:rPr>
          <w:rFonts w:asciiTheme="minorHAnsi" w:eastAsia="Calibri" w:hAnsiTheme="minorHAnsi" w:cs="Latha"/>
          <w:color w:val="auto"/>
          <w:sz w:val="28"/>
          <w:szCs w:val="28"/>
          <w:lang w:val="en-IN"/>
        </w:rPr>
        <w:t xml:space="preserve"> </w:t>
      </w:r>
      <w:r w:rsidRPr="00275551">
        <w:rPr>
          <w:rFonts w:asciiTheme="minorHAnsi" w:eastAsia="Calibri" w:hAnsiTheme="minorHAnsi" w:cs="Latha"/>
          <w:color w:val="auto"/>
          <w:sz w:val="28"/>
          <w:szCs w:val="28"/>
          <w:lang w:val="en-GB"/>
        </w:rPr>
        <w:t>This study helps us to determine the effect of oral hygiene instructions in the maintenance of periodontal health of patients.</w:t>
      </w:r>
    </w:p>
    <w:p w14:paraId="14C315AC" w14:textId="77777777" w:rsidR="00275551" w:rsidRPr="00275551" w:rsidRDefault="00275551" w:rsidP="00C04C28">
      <w:pPr>
        <w:widowControl/>
        <w:autoSpaceDE/>
        <w:autoSpaceDN/>
        <w:adjustRightInd/>
        <w:spacing w:after="160" w:line="259" w:lineRule="auto"/>
        <w:rPr>
          <w:rFonts w:asciiTheme="minorHAnsi" w:eastAsia="Calibri" w:hAnsiTheme="minorHAnsi" w:cs="Latha"/>
          <w:color w:val="auto"/>
          <w:sz w:val="28"/>
          <w:szCs w:val="28"/>
          <w:lang w:val="en-GB"/>
        </w:rPr>
      </w:pPr>
    </w:p>
    <w:p w14:paraId="2EBBB12C" w14:textId="77777777" w:rsidR="00C04C28" w:rsidRPr="00275551" w:rsidRDefault="00C04C28" w:rsidP="00C04C28">
      <w:pPr>
        <w:widowControl/>
        <w:autoSpaceDE/>
        <w:autoSpaceDN/>
        <w:adjustRightInd/>
        <w:spacing w:after="160" w:line="259" w:lineRule="auto"/>
        <w:rPr>
          <w:rFonts w:asciiTheme="minorHAnsi" w:eastAsia="Calibri" w:hAnsiTheme="minorHAnsi" w:cs="Latha"/>
          <w:color w:val="auto"/>
          <w:sz w:val="32"/>
          <w:szCs w:val="32"/>
          <w:lang w:val="en-IN"/>
        </w:rPr>
      </w:pPr>
      <w:r w:rsidRPr="00275551">
        <w:rPr>
          <w:rFonts w:asciiTheme="minorHAnsi" w:eastAsia="Calibri" w:hAnsiTheme="minorHAnsi" w:cs="Latha"/>
          <w:color w:val="auto"/>
          <w:sz w:val="32"/>
          <w:szCs w:val="32"/>
          <w:lang w:val="en-IN"/>
        </w:rPr>
        <w:t>INTRODUCTION</w:t>
      </w:r>
    </w:p>
    <w:p w14:paraId="3F084D2C" w14:textId="3C1C6B09" w:rsidR="00275551" w:rsidRDefault="00CD11E0" w:rsidP="00C04C28">
      <w:pPr>
        <w:widowControl/>
        <w:autoSpaceDE/>
        <w:autoSpaceDN/>
        <w:adjustRightInd/>
        <w:spacing w:after="160" w:line="259" w:lineRule="auto"/>
        <w:rPr>
          <w:rFonts w:asciiTheme="minorHAnsi" w:eastAsia="Calibri" w:hAnsiTheme="minorHAnsi" w:cs="Latha"/>
          <w:color w:val="auto"/>
          <w:sz w:val="28"/>
          <w:szCs w:val="28"/>
          <w:lang w:val="en-IN"/>
        </w:rPr>
      </w:pPr>
      <w:r w:rsidRPr="00275551">
        <w:rPr>
          <w:rFonts w:asciiTheme="minorHAnsi" w:eastAsia="Calibri" w:hAnsiTheme="minorHAnsi" w:cs="Latha"/>
          <w:color w:val="auto"/>
          <w:sz w:val="28"/>
          <w:szCs w:val="28"/>
          <w:lang w:val="en-IN"/>
        </w:rPr>
        <w:t>Periodontal disease are</w:t>
      </w:r>
      <w:r w:rsidR="00C04C28" w:rsidRPr="00275551">
        <w:rPr>
          <w:rFonts w:asciiTheme="minorHAnsi" w:eastAsia="Calibri" w:hAnsiTheme="minorHAnsi" w:cs="Latha"/>
          <w:color w:val="auto"/>
          <w:sz w:val="28"/>
          <w:szCs w:val="28"/>
          <w:lang w:val="en-IN"/>
        </w:rPr>
        <w:t xml:space="preserve"> a major dental disease affecting human populations worldwide at high prevalence rate (1,2 ). The World Health </w:t>
      </w:r>
      <w:r w:rsidR="00017186" w:rsidRPr="00275551">
        <w:rPr>
          <w:rFonts w:asciiTheme="minorHAnsi" w:eastAsia="Calibri" w:hAnsiTheme="minorHAnsi" w:cs="Latha"/>
          <w:color w:val="auto"/>
          <w:sz w:val="28"/>
          <w:szCs w:val="28"/>
          <w:lang w:val="en-IN"/>
        </w:rPr>
        <w:t>Organisation</w:t>
      </w:r>
      <w:r w:rsidR="00C04C28" w:rsidRPr="00275551">
        <w:rPr>
          <w:rFonts w:asciiTheme="minorHAnsi" w:eastAsia="Calibri" w:hAnsiTheme="minorHAnsi" w:cs="Latha"/>
          <w:color w:val="auto"/>
          <w:sz w:val="28"/>
          <w:szCs w:val="28"/>
          <w:lang w:val="en-IN"/>
        </w:rPr>
        <w:t xml:space="preserve"> (WHO) reported that 10-15% of the world population suffers from severe periodontitis (3). Periodontal disease includes both gingivitis and periodontitis (4). This is the most important aspect of oral health as severe periodontal disease can lead to loss of teeth (5). Periodontal disease is caused by</w:t>
      </w:r>
      <w:r w:rsidR="003F35A2" w:rsidRPr="00275551">
        <w:rPr>
          <w:rFonts w:asciiTheme="minorHAnsi" w:eastAsia="Calibri" w:hAnsiTheme="minorHAnsi" w:cs="Latha"/>
          <w:color w:val="auto"/>
          <w:sz w:val="28"/>
          <w:szCs w:val="28"/>
          <w:lang w:val="en-IN"/>
        </w:rPr>
        <w:t xml:space="preserve"> </w:t>
      </w:r>
      <w:r w:rsidR="005664DF" w:rsidRPr="00275551">
        <w:rPr>
          <w:rFonts w:asciiTheme="minorHAnsi" w:eastAsia="Calibri" w:hAnsiTheme="minorHAnsi" w:cs="Latha"/>
          <w:color w:val="auto"/>
          <w:sz w:val="28"/>
          <w:szCs w:val="28"/>
          <w:lang w:val="en-IN"/>
        </w:rPr>
        <w:t>colonisation</w:t>
      </w:r>
      <w:r w:rsidR="003F35A2" w:rsidRPr="00275551">
        <w:rPr>
          <w:rFonts w:asciiTheme="minorHAnsi" w:eastAsia="Calibri" w:hAnsiTheme="minorHAnsi" w:cs="Latha"/>
          <w:color w:val="auto"/>
          <w:sz w:val="28"/>
          <w:szCs w:val="28"/>
          <w:lang w:val="en-IN"/>
        </w:rPr>
        <w:t xml:space="preserve"> of</w:t>
      </w:r>
      <w:r w:rsidR="00C04C28" w:rsidRPr="00275551">
        <w:rPr>
          <w:rFonts w:asciiTheme="minorHAnsi" w:eastAsia="Calibri" w:hAnsiTheme="minorHAnsi" w:cs="Latha"/>
          <w:color w:val="auto"/>
          <w:sz w:val="28"/>
          <w:szCs w:val="28"/>
          <w:lang w:val="en-IN"/>
        </w:rPr>
        <w:t xml:space="preserve"> gram negative, anaerobic bacteria</w:t>
      </w:r>
      <w:r w:rsidR="00FD6965" w:rsidRPr="00275551">
        <w:rPr>
          <w:rFonts w:asciiTheme="minorHAnsi" w:eastAsia="Calibri" w:hAnsiTheme="minorHAnsi" w:cs="Latha"/>
          <w:color w:val="auto"/>
          <w:sz w:val="28"/>
          <w:szCs w:val="28"/>
          <w:lang w:val="en-IN"/>
        </w:rPr>
        <w:t xml:space="preserve"> destructing the sub gingival sites</w:t>
      </w:r>
      <w:r w:rsidR="00C04C28" w:rsidRPr="00275551">
        <w:rPr>
          <w:rFonts w:asciiTheme="minorHAnsi" w:eastAsia="Calibri" w:hAnsiTheme="minorHAnsi" w:cs="Latha"/>
          <w:color w:val="auto"/>
          <w:sz w:val="28"/>
          <w:szCs w:val="28"/>
          <w:lang w:val="en-IN"/>
        </w:rPr>
        <w:t>. The host</w:t>
      </w:r>
      <w:r w:rsidR="00FD6965" w:rsidRPr="00275551">
        <w:rPr>
          <w:rFonts w:asciiTheme="minorHAnsi" w:eastAsia="Calibri" w:hAnsiTheme="minorHAnsi" w:cs="Latha"/>
          <w:color w:val="auto"/>
          <w:sz w:val="28"/>
          <w:szCs w:val="28"/>
          <w:lang w:val="en-IN"/>
        </w:rPr>
        <w:t xml:space="preserve"> response to the bacteria cause</w:t>
      </w:r>
      <w:r w:rsidR="00C04C28" w:rsidRPr="00275551">
        <w:rPr>
          <w:rFonts w:asciiTheme="minorHAnsi" w:eastAsia="Calibri" w:hAnsiTheme="minorHAnsi" w:cs="Latha"/>
          <w:color w:val="auto"/>
          <w:sz w:val="28"/>
          <w:szCs w:val="28"/>
          <w:lang w:val="en-IN"/>
        </w:rPr>
        <w:t xml:space="preserve"> inflammation and destruction of periodontal tissues leading to clinical manifest</w:t>
      </w:r>
      <w:r w:rsidR="00FD6965" w:rsidRPr="00275551">
        <w:rPr>
          <w:rFonts w:asciiTheme="minorHAnsi" w:eastAsia="Calibri" w:hAnsiTheme="minorHAnsi" w:cs="Latha"/>
          <w:color w:val="auto"/>
          <w:sz w:val="28"/>
          <w:szCs w:val="28"/>
          <w:lang w:val="en-IN"/>
        </w:rPr>
        <w:t>ations of the disease. This leads to</w:t>
      </w:r>
      <w:r w:rsidR="00C04C28" w:rsidRPr="00275551">
        <w:rPr>
          <w:rFonts w:asciiTheme="minorHAnsi" w:eastAsia="Calibri" w:hAnsiTheme="minorHAnsi" w:cs="Latha"/>
          <w:color w:val="auto"/>
          <w:sz w:val="28"/>
          <w:szCs w:val="28"/>
          <w:lang w:val="en-IN"/>
        </w:rPr>
        <w:t xml:space="preserve"> increased pocket depth, loss of attachment of the tooth, mobility</w:t>
      </w:r>
      <w:r w:rsidR="00FD6965" w:rsidRPr="00275551">
        <w:rPr>
          <w:rFonts w:asciiTheme="minorHAnsi" w:eastAsia="Calibri" w:hAnsiTheme="minorHAnsi" w:cs="Latha"/>
          <w:color w:val="auto"/>
          <w:sz w:val="28"/>
          <w:szCs w:val="28"/>
          <w:lang w:val="en-IN"/>
        </w:rPr>
        <w:t xml:space="preserve"> of teeth (4,5)</w:t>
      </w:r>
      <w:r w:rsidR="00C04C28" w:rsidRPr="00275551">
        <w:rPr>
          <w:rFonts w:asciiTheme="minorHAnsi" w:eastAsia="Calibri" w:hAnsiTheme="minorHAnsi" w:cs="Latha"/>
          <w:color w:val="auto"/>
          <w:sz w:val="28"/>
          <w:szCs w:val="28"/>
          <w:lang w:val="en-IN"/>
        </w:rPr>
        <w:t xml:space="preserve">.  Periodontal disease occurs due to accumulation of bacterial plaque. The degree of damage caused by the host response depends on the amount of plaque on patient’s teeth which in turn depends on oral hygiene, age and systemic factors which can exacerbate </w:t>
      </w:r>
      <w:r w:rsidR="00FD6965" w:rsidRPr="00275551">
        <w:rPr>
          <w:rFonts w:asciiTheme="minorHAnsi" w:eastAsia="Calibri" w:hAnsiTheme="minorHAnsi" w:cs="Latha"/>
          <w:color w:val="auto"/>
          <w:sz w:val="28"/>
          <w:szCs w:val="28"/>
          <w:lang w:val="en-IN"/>
        </w:rPr>
        <w:t>susceptibility to the problem (6</w:t>
      </w:r>
      <w:r w:rsidR="00C04C28" w:rsidRPr="00275551">
        <w:rPr>
          <w:rFonts w:asciiTheme="minorHAnsi" w:eastAsia="Calibri" w:hAnsiTheme="minorHAnsi" w:cs="Latha"/>
          <w:color w:val="auto"/>
          <w:sz w:val="28"/>
          <w:szCs w:val="28"/>
          <w:lang w:val="en-IN"/>
        </w:rPr>
        <w:t>). Maintenance of periodontal health depends on behaviour of patient in m</w:t>
      </w:r>
      <w:r w:rsidR="00FD6965" w:rsidRPr="00275551">
        <w:rPr>
          <w:rFonts w:asciiTheme="minorHAnsi" w:eastAsia="Calibri" w:hAnsiTheme="minorHAnsi" w:cs="Latha"/>
          <w:color w:val="auto"/>
          <w:sz w:val="28"/>
          <w:szCs w:val="28"/>
          <w:lang w:val="en-IN"/>
        </w:rPr>
        <w:t>aintaining good oral hygiene (7</w:t>
      </w:r>
      <w:r w:rsidR="00C04C28" w:rsidRPr="00275551">
        <w:rPr>
          <w:rFonts w:asciiTheme="minorHAnsi" w:eastAsia="Calibri" w:hAnsiTheme="minorHAnsi" w:cs="Latha"/>
          <w:color w:val="auto"/>
          <w:sz w:val="28"/>
          <w:szCs w:val="28"/>
          <w:lang w:val="en-IN"/>
        </w:rPr>
        <w:t>)</w:t>
      </w:r>
      <w:r w:rsidR="00FD6965" w:rsidRPr="00275551">
        <w:rPr>
          <w:rFonts w:asciiTheme="minorHAnsi" w:eastAsia="Calibri" w:hAnsiTheme="minorHAnsi" w:cs="Latha"/>
          <w:color w:val="auto"/>
          <w:sz w:val="28"/>
          <w:szCs w:val="28"/>
          <w:lang w:val="en-IN"/>
        </w:rPr>
        <w:t>.</w:t>
      </w:r>
      <w:r w:rsidR="00C04C28" w:rsidRPr="00275551">
        <w:rPr>
          <w:rFonts w:asciiTheme="minorHAnsi" w:eastAsia="Calibri" w:hAnsiTheme="minorHAnsi" w:cs="Latha"/>
          <w:color w:val="auto"/>
          <w:sz w:val="28"/>
          <w:szCs w:val="28"/>
          <w:lang w:val="en-IN"/>
        </w:rPr>
        <w:t xml:space="preserve"> In addition the patients should seek assistance of dental professionals in removing the plaque and calculus that may </w:t>
      </w:r>
      <w:r w:rsidR="00FD6965" w:rsidRPr="00275551">
        <w:rPr>
          <w:rFonts w:asciiTheme="minorHAnsi" w:eastAsia="Calibri" w:hAnsiTheme="minorHAnsi" w:cs="Latha"/>
          <w:color w:val="auto"/>
          <w:sz w:val="28"/>
          <w:szCs w:val="28"/>
          <w:lang w:val="en-IN"/>
        </w:rPr>
        <w:t>prevent effective dental care (8,9</w:t>
      </w:r>
      <w:r w:rsidR="00C04C28" w:rsidRPr="00275551">
        <w:rPr>
          <w:rFonts w:asciiTheme="minorHAnsi" w:eastAsia="Calibri" w:hAnsiTheme="minorHAnsi" w:cs="Latha"/>
          <w:color w:val="auto"/>
          <w:sz w:val="28"/>
          <w:szCs w:val="28"/>
          <w:lang w:val="en-IN"/>
        </w:rPr>
        <w:t>). Success in periodontal treatment depends on the ability and willingness of patients</w:t>
      </w:r>
      <w:r w:rsidR="00FD6965" w:rsidRPr="00275551">
        <w:rPr>
          <w:rFonts w:asciiTheme="minorHAnsi" w:eastAsia="Calibri" w:hAnsiTheme="minorHAnsi" w:cs="Latha"/>
          <w:color w:val="auto"/>
          <w:sz w:val="28"/>
          <w:szCs w:val="28"/>
          <w:lang w:val="en-IN"/>
        </w:rPr>
        <w:t xml:space="preserve"> to maintain to oral hygiene (10</w:t>
      </w:r>
      <w:r w:rsidR="00C04C28" w:rsidRPr="00275551">
        <w:rPr>
          <w:rFonts w:asciiTheme="minorHAnsi" w:eastAsia="Calibri" w:hAnsiTheme="minorHAnsi" w:cs="Latha"/>
          <w:color w:val="auto"/>
          <w:sz w:val="28"/>
          <w:szCs w:val="28"/>
          <w:lang w:val="en-IN"/>
        </w:rPr>
        <w:t xml:space="preserve">). Studies also show that conditions such as chronic periodontitis can be </w:t>
      </w:r>
      <w:r w:rsidR="00C04C28" w:rsidRPr="00275551">
        <w:rPr>
          <w:rFonts w:asciiTheme="minorHAnsi" w:eastAsia="Calibri" w:hAnsiTheme="minorHAnsi" w:cs="Latha"/>
          <w:color w:val="auto"/>
          <w:sz w:val="28"/>
          <w:szCs w:val="28"/>
          <w:lang w:val="en-IN"/>
        </w:rPr>
        <w:lastRenderedPageBreak/>
        <w:t>improv</w:t>
      </w:r>
      <w:r w:rsidR="00FD6965" w:rsidRPr="00275551">
        <w:rPr>
          <w:rFonts w:asciiTheme="minorHAnsi" w:eastAsia="Calibri" w:hAnsiTheme="minorHAnsi" w:cs="Latha"/>
          <w:color w:val="auto"/>
          <w:sz w:val="28"/>
          <w:szCs w:val="28"/>
          <w:lang w:val="en-IN"/>
        </w:rPr>
        <w:t>ed by effective oral hygiene (11</w:t>
      </w:r>
      <w:r w:rsidR="00C04C28" w:rsidRPr="00275551">
        <w:rPr>
          <w:rFonts w:asciiTheme="minorHAnsi" w:eastAsia="Calibri" w:hAnsiTheme="minorHAnsi" w:cs="Latha"/>
          <w:color w:val="auto"/>
          <w:sz w:val="28"/>
          <w:szCs w:val="28"/>
          <w:lang w:val="en-IN"/>
        </w:rPr>
        <w:t xml:space="preserve">). Adequate adherence to oral hygiene instructions can improve the periodontal health of the patients. Therefore effective oral hygiene instructions play an effective role in maintaining the periodontal health </w:t>
      </w:r>
      <w:r w:rsidR="00FD6965" w:rsidRPr="00275551">
        <w:rPr>
          <w:rFonts w:asciiTheme="minorHAnsi" w:eastAsia="Calibri" w:hAnsiTheme="minorHAnsi" w:cs="Latha"/>
          <w:color w:val="auto"/>
          <w:sz w:val="28"/>
          <w:szCs w:val="28"/>
          <w:lang w:val="en-IN"/>
        </w:rPr>
        <w:t>of patients. This study focussed</w:t>
      </w:r>
      <w:r w:rsidR="00C04C28" w:rsidRPr="00275551">
        <w:rPr>
          <w:rFonts w:asciiTheme="minorHAnsi" w:eastAsia="Calibri" w:hAnsiTheme="minorHAnsi" w:cs="Latha"/>
          <w:color w:val="auto"/>
          <w:sz w:val="28"/>
          <w:szCs w:val="28"/>
          <w:lang w:val="en-IN"/>
        </w:rPr>
        <w:t xml:space="preserve"> on the impact</w:t>
      </w:r>
      <w:r w:rsidR="00FD6965" w:rsidRPr="00275551">
        <w:rPr>
          <w:rFonts w:asciiTheme="minorHAnsi" w:eastAsia="Calibri" w:hAnsiTheme="minorHAnsi" w:cs="Latha"/>
          <w:color w:val="auto"/>
          <w:sz w:val="28"/>
          <w:szCs w:val="28"/>
          <w:lang w:val="en-IN"/>
        </w:rPr>
        <w:t>ion</w:t>
      </w:r>
      <w:r w:rsidR="00C04C28" w:rsidRPr="00275551">
        <w:rPr>
          <w:rFonts w:asciiTheme="minorHAnsi" w:eastAsia="Calibri" w:hAnsiTheme="minorHAnsi" w:cs="Latha"/>
          <w:color w:val="auto"/>
          <w:sz w:val="28"/>
          <w:szCs w:val="28"/>
          <w:lang w:val="en-IN"/>
        </w:rPr>
        <w:t xml:space="preserve"> of oral hyg</w:t>
      </w:r>
      <w:r w:rsidR="00FD6965" w:rsidRPr="00275551">
        <w:rPr>
          <w:rFonts w:asciiTheme="minorHAnsi" w:eastAsia="Calibri" w:hAnsiTheme="minorHAnsi" w:cs="Latha"/>
          <w:color w:val="auto"/>
          <w:sz w:val="28"/>
          <w:szCs w:val="28"/>
          <w:lang w:val="en-IN"/>
        </w:rPr>
        <w:t xml:space="preserve">iene instructions in </w:t>
      </w:r>
      <w:r w:rsidR="00FB0E53" w:rsidRPr="00275551">
        <w:rPr>
          <w:rFonts w:asciiTheme="minorHAnsi" w:eastAsia="Calibri" w:hAnsiTheme="minorHAnsi" w:cs="Latha"/>
          <w:color w:val="auto"/>
          <w:sz w:val="28"/>
          <w:szCs w:val="28"/>
          <w:lang w:val="en-IN"/>
        </w:rPr>
        <w:t>maintenance</w:t>
      </w:r>
      <w:r w:rsidR="00FD6965" w:rsidRPr="00275551">
        <w:rPr>
          <w:rFonts w:asciiTheme="minorHAnsi" w:eastAsia="Calibri" w:hAnsiTheme="minorHAnsi" w:cs="Latha"/>
          <w:color w:val="auto"/>
          <w:sz w:val="28"/>
          <w:szCs w:val="28"/>
          <w:lang w:val="en-IN"/>
        </w:rPr>
        <w:t xml:space="preserve"> of periodontal health.</w:t>
      </w:r>
    </w:p>
    <w:p w14:paraId="62971265" w14:textId="77777777" w:rsidR="00275551" w:rsidRDefault="00275551" w:rsidP="00C04C28">
      <w:pPr>
        <w:widowControl/>
        <w:autoSpaceDE/>
        <w:autoSpaceDN/>
        <w:adjustRightInd/>
        <w:spacing w:after="160" w:line="259" w:lineRule="auto"/>
        <w:rPr>
          <w:rFonts w:asciiTheme="minorHAnsi" w:eastAsia="Calibri" w:hAnsiTheme="minorHAnsi" w:cs="Latha"/>
          <w:color w:val="auto"/>
          <w:sz w:val="28"/>
          <w:szCs w:val="28"/>
          <w:lang w:val="en-IN"/>
        </w:rPr>
      </w:pPr>
    </w:p>
    <w:p w14:paraId="4942D31A" w14:textId="3C85583E" w:rsidR="00C04C28" w:rsidRPr="00275551" w:rsidRDefault="00C04C28" w:rsidP="00C04C28">
      <w:pPr>
        <w:widowControl/>
        <w:autoSpaceDE/>
        <w:autoSpaceDN/>
        <w:adjustRightInd/>
        <w:spacing w:after="160" w:line="259" w:lineRule="auto"/>
        <w:rPr>
          <w:rFonts w:asciiTheme="minorHAnsi" w:eastAsia="Calibri" w:hAnsiTheme="minorHAnsi" w:cs="Latha"/>
          <w:color w:val="auto"/>
          <w:sz w:val="28"/>
          <w:szCs w:val="28"/>
          <w:lang w:val="en-IN"/>
        </w:rPr>
      </w:pPr>
      <w:r w:rsidRPr="00275551">
        <w:rPr>
          <w:rFonts w:asciiTheme="minorHAnsi" w:eastAsia="Calibri" w:hAnsiTheme="minorHAnsi" w:cs="Latha"/>
          <w:color w:val="auto"/>
          <w:sz w:val="32"/>
          <w:szCs w:val="32"/>
          <w:lang w:val="en-IN"/>
        </w:rPr>
        <w:t>MATERIALS AND METHODS</w:t>
      </w:r>
    </w:p>
    <w:p w14:paraId="7E38776F" w14:textId="77777777" w:rsidR="00275551" w:rsidRDefault="00C04C28" w:rsidP="00C04C28">
      <w:pPr>
        <w:widowControl/>
        <w:autoSpaceDE/>
        <w:autoSpaceDN/>
        <w:adjustRightInd/>
        <w:spacing w:after="160" w:line="259" w:lineRule="auto"/>
        <w:rPr>
          <w:rFonts w:asciiTheme="minorHAnsi" w:eastAsia="Calibri" w:hAnsiTheme="minorHAnsi" w:cs="Latha"/>
          <w:color w:val="auto"/>
          <w:sz w:val="28"/>
          <w:szCs w:val="28"/>
          <w:lang w:val="en-IN"/>
        </w:rPr>
      </w:pPr>
      <w:r w:rsidRPr="00275551">
        <w:rPr>
          <w:rFonts w:asciiTheme="minorHAnsi" w:eastAsia="Calibri" w:hAnsiTheme="minorHAnsi" w:cs="Latha"/>
          <w:color w:val="auto"/>
          <w:sz w:val="28"/>
          <w:szCs w:val="28"/>
          <w:lang w:val="en-IN"/>
        </w:rPr>
        <w:t>The study included 30 patients from Saveetha dental college, Chennai over 19 years of age. The participants were divided into three groups with ten patients in each group. Group I include</w:t>
      </w:r>
      <w:r w:rsidR="00F17312" w:rsidRPr="00275551">
        <w:rPr>
          <w:rFonts w:asciiTheme="minorHAnsi" w:eastAsia="Calibri" w:hAnsiTheme="minorHAnsi" w:cs="Latha"/>
          <w:color w:val="auto"/>
          <w:sz w:val="28"/>
          <w:szCs w:val="28"/>
          <w:lang w:val="en-IN"/>
        </w:rPr>
        <w:t>d</w:t>
      </w:r>
      <w:r w:rsidRPr="00275551">
        <w:rPr>
          <w:rFonts w:asciiTheme="minorHAnsi" w:eastAsia="Calibri" w:hAnsiTheme="minorHAnsi" w:cs="Latha"/>
          <w:color w:val="auto"/>
          <w:sz w:val="28"/>
          <w:szCs w:val="28"/>
          <w:lang w:val="en-IN"/>
        </w:rPr>
        <w:t xml:space="preserve"> patients for whom oral hygiene instructions were given through videos. Group II included patients for whom oral hygiene instructions were given orally. Group III included patients for whom oral hygiene instructions</w:t>
      </w:r>
      <w:r w:rsidR="00F17312" w:rsidRPr="00275551">
        <w:rPr>
          <w:rFonts w:asciiTheme="minorHAnsi" w:eastAsia="Calibri" w:hAnsiTheme="minorHAnsi" w:cs="Latha"/>
          <w:color w:val="auto"/>
          <w:sz w:val="28"/>
          <w:szCs w:val="28"/>
          <w:lang w:val="en-IN"/>
        </w:rPr>
        <w:t xml:space="preserve"> were not given. All 3 groups </w:t>
      </w:r>
      <w:r w:rsidRPr="00275551">
        <w:rPr>
          <w:rFonts w:asciiTheme="minorHAnsi" w:eastAsia="Calibri" w:hAnsiTheme="minorHAnsi" w:cs="Latha"/>
          <w:color w:val="auto"/>
          <w:sz w:val="28"/>
          <w:szCs w:val="28"/>
          <w:lang w:val="en-IN"/>
        </w:rPr>
        <w:t>were recalled after fifteen days to check the oral hygien</w:t>
      </w:r>
      <w:r w:rsidR="00F17312" w:rsidRPr="00275551">
        <w:rPr>
          <w:rFonts w:asciiTheme="minorHAnsi" w:eastAsia="Calibri" w:hAnsiTheme="minorHAnsi" w:cs="Latha"/>
          <w:color w:val="auto"/>
          <w:sz w:val="28"/>
          <w:szCs w:val="28"/>
          <w:lang w:val="en-IN"/>
        </w:rPr>
        <w:t>e status using PHP index.</w:t>
      </w:r>
    </w:p>
    <w:p w14:paraId="6AABFD9F" w14:textId="77777777" w:rsidR="00275551" w:rsidRDefault="00275551" w:rsidP="00C04C28">
      <w:pPr>
        <w:widowControl/>
        <w:autoSpaceDE/>
        <w:autoSpaceDN/>
        <w:adjustRightInd/>
        <w:spacing w:after="160" w:line="259" w:lineRule="auto"/>
        <w:rPr>
          <w:rFonts w:asciiTheme="minorHAnsi" w:eastAsia="Calibri" w:hAnsiTheme="minorHAnsi" w:cs="Latha"/>
          <w:color w:val="auto"/>
          <w:sz w:val="28"/>
          <w:szCs w:val="28"/>
          <w:lang w:val="en-IN"/>
        </w:rPr>
      </w:pPr>
    </w:p>
    <w:p w14:paraId="666C2DB7" w14:textId="574AC673" w:rsidR="00275551" w:rsidRPr="00275551" w:rsidRDefault="00C04C28" w:rsidP="00C04C28">
      <w:pPr>
        <w:widowControl/>
        <w:autoSpaceDE/>
        <w:autoSpaceDN/>
        <w:adjustRightInd/>
        <w:spacing w:after="160" w:line="259" w:lineRule="auto"/>
        <w:rPr>
          <w:rFonts w:asciiTheme="minorHAnsi" w:eastAsia="Calibri" w:hAnsiTheme="minorHAnsi" w:cs="Latha"/>
          <w:color w:val="auto"/>
          <w:sz w:val="28"/>
          <w:szCs w:val="28"/>
          <w:lang w:val="en-IN"/>
        </w:rPr>
      </w:pPr>
      <w:r w:rsidRPr="00275551">
        <w:rPr>
          <w:rFonts w:asciiTheme="minorHAnsi" w:eastAsia="Calibri" w:hAnsiTheme="minorHAnsi" w:cs="Latha"/>
          <w:color w:val="auto"/>
          <w:sz w:val="32"/>
          <w:szCs w:val="32"/>
          <w:lang w:val="en-IN"/>
        </w:rPr>
        <w:t>DATA COLLECTION</w:t>
      </w:r>
    </w:p>
    <w:p w14:paraId="4D5E0DE0" w14:textId="77777777" w:rsidR="00275551" w:rsidRDefault="00C04C28" w:rsidP="00C04C28">
      <w:pPr>
        <w:widowControl/>
        <w:autoSpaceDE/>
        <w:autoSpaceDN/>
        <w:adjustRightInd/>
        <w:spacing w:after="160" w:line="259" w:lineRule="auto"/>
        <w:rPr>
          <w:rFonts w:asciiTheme="minorHAnsi" w:eastAsia="Calibri" w:hAnsiTheme="minorHAnsi" w:cs="Latha"/>
          <w:color w:val="auto"/>
          <w:sz w:val="32"/>
          <w:szCs w:val="32"/>
          <w:lang w:val="en-IN"/>
        </w:rPr>
      </w:pPr>
      <w:r w:rsidRPr="00275551">
        <w:rPr>
          <w:rFonts w:asciiTheme="minorHAnsi" w:eastAsia="Calibri" w:hAnsiTheme="minorHAnsi" w:cs="Latha"/>
          <w:color w:val="auto"/>
          <w:sz w:val="28"/>
          <w:szCs w:val="28"/>
          <w:lang w:val="en-IN"/>
        </w:rPr>
        <w:t>The Simplifie</w:t>
      </w:r>
      <w:r w:rsidR="00F17312" w:rsidRPr="00275551">
        <w:rPr>
          <w:rFonts w:asciiTheme="minorHAnsi" w:eastAsia="Calibri" w:hAnsiTheme="minorHAnsi" w:cs="Latha"/>
          <w:color w:val="auto"/>
          <w:sz w:val="28"/>
          <w:szCs w:val="28"/>
          <w:lang w:val="en-IN"/>
        </w:rPr>
        <w:t>d Oral Hygiene Index (OHI-S) (12,13</w:t>
      </w:r>
      <w:r w:rsidRPr="00275551">
        <w:rPr>
          <w:rFonts w:asciiTheme="minorHAnsi" w:eastAsia="Calibri" w:hAnsiTheme="minorHAnsi" w:cs="Latha"/>
          <w:color w:val="auto"/>
          <w:sz w:val="28"/>
          <w:szCs w:val="28"/>
          <w:lang w:val="en-IN"/>
        </w:rPr>
        <w:t>) developed by Greene and Vermillion and Patient Hyg</w:t>
      </w:r>
      <w:r w:rsidR="00F17312" w:rsidRPr="00275551">
        <w:rPr>
          <w:rFonts w:asciiTheme="minorHAnsi" w:eastAsia="Calibri" w:hAnsiTheme="minorHAnsi" w:cs="Latha"/>
          <w:color w:val="auto"/>
          <w:sz w:val="28"/>
          <w:szCs w:val="28"/>
          <w:lang w:val="en-IN"/>
        </w:rPr>
        <w:t>iene Performance index (PHP) (14</w:t>
      </w:r>
      <w:r w:rsidRPr="00275551">
        <w:rPr>
          <w:rFonts w:asciiTheme="minorHAnsi" w:eastAsia="Calibri" w:hAnsiTheme="minorHAnsi" w:cs="Latha"/>
          <w:color w:val="auto"/>
          <w:sz w:val="28"/>
          <w:szCs w:val="28"/>
          <w:lang w:val="en-IN"/>
        </w:rPr>
        <w:t>) devel</w:t>
      </w:r>
      <w:r w:rsidR="00E766EA" w:rsidRPr="00275551">
        <w:rPr>
          <w:rFonts w:asciiTheme="minorHAnsi" w:eastAsia="Calibri" w:hAnsiTheme="minorHAnsi" w:cs="Latha"/>
          <w:color w:val="auto"/>
          <w:sz w:val="28"/>
          <w:szCs w:val="28"/>
          <w:lang w:val="en-IN"/>
        </w:rPr>
        <w:t>oped by Podshadley and Haley were</w:t>
      </w:r>
      <w:r w:rsidRPr="00275551">
        <w:rPr>
          <w:rFonts w:asciiTheme="minorHAnsi" w:eastAsia="Calibri" w:hAnsiTheme="minorHAnsi" w:cs="Latha"/>
          <w:color w:val="auto"/>
          <w:sz w:val="28"/>
          <w:szCs w:val="28"/>
          <w:lang w:val="en-IN"/>
        </w:rPr>
        <w:t xml:space="preserve"> used in this study. Simplified Oral hygiene index has two components- debri and calculus each with a score ranging from zero to three. This was conducted with the aid of mouth mirrors and explorers.  Patient h</w:t>
      </w:r>
      <w:r w:rsidR="00E766EA" w:rsidRPr="00275551">
        <w:rPr>
          <w:rFonts w:asciiTheme="minorHAnsi" w:eastAsia="Calibri" w:hAnsiTheme="minorHAnsi" w:cs="Latha"/>
          <w:color w:val="auto"/>
          <w:sz w:val="28"/>
          <w:szCs w:val="28"/>
          <w:lang w:val="en-IN"/>
        </w:rPr>
        <w:t>ygiene performance index was done</w:t>
      </w:r>
      <w:r w:rsidRPr="00275551">
        <w:rPr>
          <w:rFonts w:asciiTheme="minorHAnsi" w:eastAsia="Calibri" w:hAnsiTheme="minorHAnsi" w:cs="Latha"/>
          <w:color w:val="auto"/>
          <w:sz w:val="28"/>
          <w:szCs w:val="28"/>
          <w:lang w:val="en-IN"/>
        </w:rPr>
        <w:t xml:space="preserve"> after the patient has been given a disclosing solution which stains the oral debri a dark pink colour. The disclosing solution is left f</w:t>
      </w:r>
      <w:r w:rsidR="00E766EA" w:rsidRPr="00275551">
        <w:rPr>
          <w:rFonts w:asciiTheme="minorHAnsi" w:eastAsia="Calibri" w:hAnsiTheme="minorHAnsi" w:cs="Latha"/>
          <w:color w:val="auto"/>
          <w:sz w:val="28"/>
          <w:szCs w:val="28"/>
          <w:lang w:val="en-IN"/>
        </w:rPr>
        <w:t>or 30 seconds and the patient was not permitted to rinse the</w:t>
      </w:r>
      <w:r w:rsidRPr="00275551">
        <w:rPr>
          <w:rFonts w:asciiTheme="minorHAnsi" w:eastAsia="Calibri" w:hAnsiTheme="minorHAnsi" w:cs="Latha"/>
          <w:color w:val="auto"/>
          <w:sz w:val="28"/>
          <w:szCs w:val="28"/>
          <w:lang w:val="en-IN"/>
        </w:rPr>
        <w:t xml:space="preserve"> mouth until after examination. </w:t>
      </w:r>
    </w:p>
    <w:p w14:paraId="03A8881D" w14:textId="2C471FF2" w:rsidR="00C04C28" w:rsidRPr="00275551" w:rsidRDefault="00C04C28" w:rsidP="00C04C28">
      <w:pPr>
        <w:widowControl/>
        <w:autoSpaceDE/>
        <w:autoSpaceDN/>
        <w:adjustRightInd/>
        <w:spacing w:after="160" w:line="259" w:lineRule="auto"/>
        <w:rPr>
          <w:rFonts w:asciiTheme="minorHAnsi" w:eastAsia="Calibri" w:hAnsiTheme="minorHAnsi" w:cs="Latha"/>
          <w:color w:val="auto"/>
          <w:sz w:val="32"/>
          <w:szCs w:val="32"/>
          <w:lang w:val="en-IN"/>
        </w:rPr>
      </w:pPr>
      <w:r w:rsidRPr="00275551">
        <w:rPr>
          <w:rFonts w:asciiTheme="minorHAnsi" w:eastAsia="Calibri" w:hAnsiTheme="minorHAnsi" w:cs="Latha"/>
          <w:color w:val="auto"/>
          <w:sz w:val="28"/>
          <w:szCs w:val="28"/>
          <w:lang w:val="en-IN"/>
        </w:rPr>
        <w:t xml:space="preserve">Both the indices are performed on the following teeth: maxillary right first molar, maxillary right central incisor, maxillary left first molar, mandibular left first molar, mandibular left first incisor and mandibular right first molar. </w:t>
      </w:r>
    </w:p>
    <w:p w14:paraId="636794D0" w14:textId="77777777" w:rsidR="009B544C" w:rsidRPr="00275551" w:rsidRDefault="009B544C" w:rsidP="00C04C28">
      <w:pPr>
        <w:widowControl/>
        <w:autoSpaceDE/>
        <w:autoSpaceDN/>
        <w:adjustRightInd/>
        <w:spacing w:after="160" w:line="259" w:lineRule="auto"/>
        <w:rPr>
          <w:rFonts w:asciiTheme="minorHAnsi" w:eastAsia="Calibri" w:hAnsiTheme="minorHAnsi" w:cs="Latha"/>
          <w:color w:val="auto"/>
          <w:sz w:val="28"/>
          <w:szCs w:val="28"/>
          <w:lang w:val="en-IN"/>
        </w:rPr>
      </w:pPr>
    </w:p>
    <w:p w14:paraId="19F80982" w14:textId="5B917101" w:rsidR="00E766EA" w:rsidRPr="00275551" w:rsidRDefault="00E766EA" w:rsidP="00C04C28">
      <w:pPr>
        <w:widowControl/>
        <w:autoSpaceDE/>
        <w:autoSpaceDN/>
        <w:adjustRightInd/>
        <w:spacing w:after="160" w:line="259" w:lineRule="auto"/>
        <w:rPr>
          <w:rFonts w:asciiTheme="minorHAnsi" w:eastAsia="Calibri" w:hAnsiTheme="minorHAnsi" w:cs="Latha"/>
          <w:color w:val="auto"/>
          <w:sz w:val="32"/>
          <w:szCs w:val="32"/>
          <w:lang w:val="en-IN"/>
        </w:rPr>
      </w:pPr>
      <w:r w:rsidRPr="00275551">
        <w:rPr>
          <w:rFonts w:asciiTheme="minorHAnsi" w:eastAsia="Calibri" w:hAnsiTheme="minorHAnsi" w:cs="Latha"/>
          <w:color w:val="auto"/>
          <w:sz w:val="32"/>
          <w:szCs w:val="32"/>
          <w:lang w:val="en-IN"/>
        </w:rPr>
        <w:t>RESULTS</w:t>
      </w:r>
    </w:p>
    <w:p w14:paraId="1275E44A" w14:textId="209EA86B" w:rsidR="008F3D11" w:rsidRPr="00275551" w:rsidRDefault="00C04C28" w:rsidP="00C04C28">
      <w:pPr>
        <w:widowControl/>
        <w:autoSpaceDE/>
        <w:autoSpaceDN/>
        <w:adjustRightInd/>
        <w:spacing w:after="160" w:line="259" w:lineRule="auto"/>
        <w:rPr>
          <w:rFonts w:asciiTheme="minorHAnsi" w:eastAsia="Calibri" w:hAnsiTheme="minorHAnsi" w:cs="Latha"/>
          <w:color w:val="auto"/>
          <w:sz w:val="28"/>
          <w:szCs w:val="28"/>
          <w:lang w:val="en-GB"/>
        </w:rPr>
      </w:pPr>
      <w:r w:rsidRPr="00275551">
        <w:rPr>
          <w:rFonts w:asciiTheme="minorHAnsi" w:eastAsia="Calibri" w:hAnsiTheme="minorHAnsi" w:cs="Latha"/>
          <w:color w:val="auto"/>
          <w:sz w:val="28"/>
          <w:szCs w:val="28"/>
          <w:lang w:val="en-IN"/>
        </w:rPr>
        <w:t>Group-I</w:t>
      </w:r>
      <w:r w:rsidRPr="00275551">
        <w:rPr>
          <w:rFonts w:asciiTheme="minorHAnsi" w:eastAsia="Calibri" w:hAnsiTheme="minorHAnsi" w:cs="Latha"/>
          <w:color w:val="auto"/>
          <w:sz w:val="28"/>
          <w:szCs w:val="28"/>
          <w:lang w:val="en-GB"/>
        </w:rPr>
        <w:t xml:space="preserve"> (Oral hygiene instructions given through videos)</w:t>
      </w:r>
    </w:p>
    <w:tbl>
      <w:tblPr>
        <w:tblStyle w:val="TableGrid"/>
        <w:tblW w:w="10040" w:type="dxa"/>
        <w:tblLook w:val="04A0" w:firstRow="1" w:lastRow="0" w:firstColumn="1" w:lastColumn="0" w:noHBand="0" w:noVBand="1"/>
      </w:tblPr>
      <w:tblGrid>
        <w:gridCol w:w="4957"/>
        <w:gridCol w:w="5083"/>
      </w:tblGrid>
      <w:tr w:rsidR="00E42228" w:rsidRPr="00275551" w14:paraId="0A960E21" w14:textId="77777777" w:rsidTr="00952917">
        <w:trPr>
          <w:trHeight w:val="321"/>
        </w:trPr>
        <w:tc>
          <w:tcPr>
            <w:tcW w:w="4957" w:type="dxa"/>
          </w:tcPr>
          <w:p w14:paraId="1C38FA15" w14:textId="29656358" w:rsidR="001B2F2F" w:rsidRPr="00645C9C" w:rsidRDefault="004257A8" w:rsidP="00C04C28">
            <w:pPr>
              <w:widowControl/>
              <w:autoSpaceDE/>
              <w:autoSpaceDN/>
              <w:adjustRightInd/>
              <w:spacing w:after="160" w:line="259" w:lineRule="auto"/>
              <w:rPr>
                <w:rFonts w:asciiTheme="minorHAnsi" w:eastAsia="Calibri" w:hAnsiTheme="minorHAnsi" w:cs="Latha"/>
                <w:color w:val="auto"/>
                <w:sz w:val="22"/>
                <w:szCs w:val="22"/>
                <w:lang w:val="en-GB"/>
              </w:rPr>
            </w:pPr>
            <w:r w:rsidRPr="00645C9C">
              <w:rPr>
                <w:rFonts w:asciiTheme="minorHAnsi" w:eastAsia="Calibri" w:hAnsiTheme="minorHAnsi" w:cs="Latha"/>
                <w:color w:val="auto"/>
                <w:sz w:val="22"/>
                <w:szCs w:val="22"/>
                <w:lang w:val="en-GB"/>
              </w:rPr>
              <w:t xml:space="preserve">                                       MEAN OF OHI</w:t>
            </w:r>
          </w:p>
        </w:tc>
        <w:tc>
          <w:tcPr>
            <w:tcW w:w="5083" w:type="dxa"/>
          </w:tcPr>
          <w:p w14:paraId="50DEB36C" w14:textId="6FA26F5C" w:rsidR="001B2F2F" w:rsidRPr="00645C9C" w:rsidRDefault="009C42B2" w:rsidP="00C04C28">
            <w:pPr>
              <w:widowControl/>
              <w:autoSpaceDE/>
              <w:autoSpaceDN/>
              <w:adjustRightInd/>
              <w:spacing w:after="160" w:line="259" w:lineRule="auto"/>
              <w:rPr>
                <w:rFonts w:asciiTheme="minorHAnsi" w:eastAsia="Calibri" w:hAnsiTheme="minorHAnsi" w:cs="Latha"/>
                <w:color w:val="auto"/>
                <w:sz w:val="22"/>
                <w:szCs w:val="22"/>
                <w:lang w:val="en-GB"/>
              </w:rPr>
            </w:pPr>
            <w:r w:rsidRPr="00645C9C">
              <w:rPr>
                <w:rFonts w:asciiTheme="minorHAnsi" w:eastAsia="Calibri" w:hAnsiTheme="minorHAnsi" w:cs="Latha"/>
                <w:color w:val="auto"/>
                <w:sz w:val="22"/>
                <w:szCs w:val="22"/>
                <w:lang w:val="en-GB"/>
              </w:rPr>
              <w:t xml:space="preserve">                                       </w:t>
            </w:r>
            <w:r w:rsidR="004257A8" w:rsidRPr="00645C9C">
              <w:rPr>
                <w:rFonts w:asciiTheme="minorHAnsi" w:eastAsia="Calibri" w:hAnsiTheme="minorHAnsi" w:cs="Latha"/>
                <w:color w:val="auto"/>
                <w:sz w:val="22"/>
                <w:szCs w:val="22"/>
                <w:lang w:val="en-GB"/>
              </w:rPr>
              <w:t>MEAN OF PHP</w:t>
            </w:r>
          </w:p>
        </w:tc>
      </w:tr>
      <w:tr w:rsidR="00E42228" w:rsidRPr="00275551" w14:paraId="4CD9339D" w14:textId="77777777" w:rsidTr="00952917">
        <w:trPr>
          <w:trHeight w:val="335"/>
        </w:trPr>
        <w:tc>
          <w:tcPr>
            <w:tcW w:w="4957" w:type="dxa"/>
          </w:tcPr>
          <w:p w14:paraId="198B71A3" w14:textId="57328433" w:rsidR="001B2F2F" w:rsidRPr="00645C9C" w:rsidRDefault="004257A8" w:rsidP="00C04C28">
            <w:pPr>
              <w:widowControl/>
              <w:autoSpaceDE/>
              <w:autoSpaceDN/>
              <w:adjustRightInd/>
              <w:spacing w:after="160" w:line="259" w:lineRule="auto"/>
              <w:rPr>
                <w:rFonts w:asciiTheme="minorHAnsi" w:eastAsia="Calibri" w:hAnsiTheme="minorHAnsi" w:cs="Latha"/>
                <w:color w:val="auto"/>
                <w:sz w:val="22"/>
                <w:szCs w:val="22"/>
                <w:lang w:val="en-GB"/>
              </w:rPr>
            </w:pPr>
            <w:r w:rsidRPr="00645C9C">
              <w:rPr>
                <w:rFonts w:asciiTheme="minorHAnsi" w:eastAsia="Calibri" w:hAnsiTheme="minorHAnsi" w:cs="Latha"/>
                <w:color w:val="auto"/>
                <w:sz w:val="22"/>
                <w:szCs w:val="22"/>
                <w:lang w:val="en-GB"/>
              </w:rPr>
              <w:t>B</w:t>
            </w:r>
            <w:r w:rsidR="00952917">
              <w:rPr>
                <w:rFonts w:asciiTheme="minorHAnsi" w:eastAsia="Calibri" w:hAnsiTheme="minorHAnsi" w:cs="Latha"/>
                <w:color w:val="auto"/>
                <w:sz w:val="22"/>
                <w:szCs w:val="22"/>
                <w:lang w:val="en-GB"/>
              </w:rPr>
              <w:t xml:space="preserve">EFORE INSTRUCTIONS            </w:t>
            </w:r>
            <w:r w:rsidRPr="00645C9C">
              <w:rPr>
                <w:rFonts w:asciiTheme="minorHAnsi" w:eastAsia="Calibri" w:hAnsiTheme="minorHAnsi" w:cs="Latha"/>
                <w:color w:val="auto"/>
                <w:sz w:val="22"/>
                <w:szCs w:val="22"/>
                <w:lang w:val="en-GB"/>
              </w:rPr>
              <w:t xml:space="preserve">  AFTER INSTRUCTIONS</w:t>
            </w:r>
          </w:p>
        </w:tc>
        <w:tc>
          <w:tcPr>
            <w:tcW w:w="5083" w:type="dxa"/>
          </w:tcPr>
          <w:p w14:paraId="15933EB4" w14:textId="5DC22098" w:rsidR="001B2F2F" w:rsidRPr="00645C9C" w:rsidRDefault="004257A8" w:rsidP="00C04C28">
            <w:pPr>
              <w:widowControl/>
              <w:autoSpaceDE/>
              <w:autoSpaceDN/>
              <w:adjustRightInd/>
              <w:spacing w:after="160" w:line="259" w:lineRule="auto"/>
              <w:rPr>
                <w:rFonts w:asciiTheme="minorHAnsi" w:eastAsia="Calibri" w:hAnsiTheme="minorHAnsi" w:cs="Latha"/>
                <w:color w:val="auto"/>
                <w:sz w:val="22"/>
                <w:szCs w:val="22"/>
                <w:lang w:val="en-GB"/>
              </w:rPr>
            </w:pPr>
            <w:r w:rsidRPr="00645C9C">
              <w:rPr>
                <w:rFonts w:asciiTheme="minorHAnsi" w:eastAsia="Calibri" w:hAnsiTheme="minorHAnsi" w:cs="Latha"/>
                <w:color w:val="auto"/>
                <w:sz w:val="22"/>
                <w:szCs w:val="22"/>
                <w:lang w:val="en-GB"/>
              </w:rPr>
              <w:t xml:space="preserve">BEFORE INSTRUCTIONS              </w:t>
            </w:r>
            <w:r w:rsidR="00922C7A">
              <w:rPr>
                <w:rFonts w:asciiTheme="minorHAnsi" w:eastAsia="Calibri" w:hAnsiTheme="minorHAnsi" w:cs="Latha"/>
                <w:color w:val="auto"/>
                <w:sz w:val="22"/>
                <w:szCs w:val="22"/>
                <w:lang w:val="en-GB"/>
              </w:rPr>
              <w:t xml:space="preserve">  </w:t>
            </w:r>
            <w:r w:rsidR="009C42B2" w:rsidRPr="00645C9C">
              <w:rPr>
                <w:rFonts w:asciiTheme="minorHAnsi" w:eastAsia="Calibri" w:hAnsiTheme="minorHAnsi" w:cs="Latha"/>
                <w:color w:val="auto"/>
                <w:sz w:val="22"/>
                <w:szCs w:val="22"/>
                <w:lang w:val="en-GB"/>
              </w:rPr>
              <w:t>AFTER INSTRUCTIONS</w:t>
            </w:r>
          </w:p>
        </w:tc>
      </w:tr>
      <w:tr w:rsidR="00E42228" w:rsidRPr="00275551" w14:paraId="1E2691A2" w14:textId="77777777" w:rsidTr="00952917">
        <w:trPr>
          <w:trHeight w:val="321"/>
        </w:trPr>
        <w:tc>
          <w:tcPr>
            <w:tcW w:w="4957" w:type="dxa"/>
          </w:tcPr>
          <w:p w14:paraId="1F4D8616" w14:textId="52D4250D" w:rsidR="001B2F2F" w:rsidRPr="00645C9C" w:rsidRDefault="00952917" w:rsidP="00C04C28">
            <w:pPr>
              <w:widowControl/>
              <w:autoSpaceDE/>
              <w:autoSpaceDN/>
              <w:adjustRightInd/>
              <w:spacing w:after="160" w:line="259" w:lineRule="auto"/>
              <w:rPr>
                <w:rFonts w:asciiTheme="minorHAnsi" w:eastAsia="Calibri" w:hAnsiTheme="minorHAnsi" w:cs="Latha"/>
                <w:color w:val="auto"/>
                <w:sz w:val="22"/>
                <w:szCs w:val="22"/>
                <w:lang w:val="en-GB"/>
              </w:rPr>
            </w:pPr>
            <w:r>
              <w:rPr>
                <w:rFonts w:asciiTheme="minorHAnsi" w:eastAsia="Calibri" w:hAnsiTheme="minorHAnsi" w:cs="Latha"/>
                <w:color w:val="auto"/>
                <w:sz w:val="22"/>
                <w:szCs w:val="22"/>
                <w:lang w:val="en-GB"/>
              </w:rPr>
              <w:t xml:space="preserve">     </w:t>
            </w:r>
            <w:r w:rsidR="009C42B2" w:rsidRPr="00645C9C">
              <w:rPr>
                <w:rFonts w:asciiTheme="minorHAnsi" w:eastAsia="Calibri" w:hAnsiTheme="minorHAnsi" w:cs="Latha"/>
                <w:color w:val="auto"/>
                <w:sz w:val="22"/>
                <w:szCs w:val="22"/>
                <w:lang w:val="en-GB"/>
              </w:rPr>
              <w:t>3.08</w:t>
            </w:r>
            <w:r w:rsidR="007C1280" w:rsidRPr="00645C9C">
              <w:rPr>
                <w:rFonts w:asciiTheme="minorHAnsi" w:eastAsia="Calibri" w:hAnsiTheme="minorHAnsi" w:cs="Latha"/>
                <w:color w:val="auto"/>
                <w:sz w:val="22"/>
                <w:szCs w:val="22"/>
                <w:lang w:val="en-GB"/>
              </w:rPr>
              <w:t xml:space="preserve">                                                            1.9</w:t>
            </w:r>
          </w:p>
        </w:tc>
        <w:tc>
          <w:tcPr>
            <w:tcW w:w="5083" w:type="dxa"/>
          </w:tcPr>
          <w:p w14:paraId="7C1DCBF6" w14:textId="648CFECB" w:rsidR="001B2F2F" w:rsidRPr="00645C9C" w:rsidRDefault="00952917" w:rsidP="00C04C28">
            <w:pPr>
              <w:widowControl/>
              <w:autoSpaceDE/>
              <w:autoSpaceDN/>
              <w:adjustRightInd/>
              <w:spacing w:after="160" w:line="259" w:lineRule="auto"/>
              <w:rPr>
                <w:rFonts w:asciiTheme="minorHAnsi" w:eastAsia="Calibri" w:hAnsiTheme="minorHAnsi" w:cs="Latha"/>
                <w:color w:val="auto"/>
                <w:sz w:val="22"/>
                <w:szCs w:val="22"/>
                <w:lang w:val="en-GB"/>
              </w:rPr>
            </w:pPr>
            <w:r>
              <w:rPr>
                <w:rFonts w:asciiTheme="minorHAnsi" w:eastAsia="Calibri" w:hAnsiTheme="minorHAnsi" w:cs="Latha"/>
                <w:color w:val="auto"/>
                <w:sz w:val="22"/>
                <w:szCs w:val="22"/>
                <w:lang w:val="en-GB"/>
              </w:rPr>
              <w:t xml:space="preserve">        </w:t>
            </w:r>
            <w:r w:rsidR="007C1280" w:rsidRPr="00645C9C">
              <w:rPr>
                <w:rFonts w:asciiTheme="minorHAnsi" w:eastAsia="Calibri" w:hAnsiTheme="minorHAnsi" w:cs="Latha"/>
                <w:color w:val="auto"/>
                <w:sz w:val="22"/>
                <w:szCs w:val="22"/>
                <w:lang w:val="en-GB"/>
              </w:rPr>
              <w:t>0.3                                                                  0.1</w:t>
            </w:r>
          </w:p>
        </w:tc>
      </w:tr>
    </w:tbl>
    <w:p w14:paraId="1909D6E5" w14:textId="77777777" w:rsidR="00E766EA" w:rsidRPr="00275551" w:rsidRDefault="00E766EA" w:rsidP="00C04C28">
      <w:pPr>
        <w:widowControl/>
        <w:autoSpaceDE/>
        <w:autoSpaceDN/>
        <w:adjustRightInd/>
        <w:spacing w:after="160" w:line="259" w:lineRule="auto"/>
        <w:rPr>
          <w:rFonts w:asciiTheme="minorHAnsi" w:eastAsia="Calibri" w:hAnsiTheme="minorHAnsi" w:cs="Latha"/>
          <w:color w:val="auto"/>
          <w:sz w:val="28"/>
          <w:szCs w:val="28"/>
          <w:lang w:val="en-GB"/>
        </w:rPr>
      </w:pPr>
    </w:p>
    <w:p w14:paraId="2985C750" w14:textId="77777777" w:rsidR="00E766EA" w:rsidRPr="00275551" w:rsidRDefault="00E766EA" w:rsidP="00C04C28">
      <w:pPr>
        <w:widowControl/>
        <w:autoSpaceDE/>
        <w:autoSpaceDN/>
        <w:adjustRightInd/>
        <w:spacing w:after="160" w:line="259" w:lineRule="auto"/>
        <w:rPr>
          <w:rFonts w:asciiTheme="minorHAnsi" w:eastAsia="Calibri" w:hAnsiTheme="minorHAnsi" w:cs="Latha"/>
          <w:color w:val="auto"/>
          <w:sz w:val="28"/>
          <w:szCs w:val="28"/>
          <w:lang w:val="en-GB"/>
        </w:rPr>
      </w:pPr>
    </w:p>
    <w:p w14:paraId="17569C3C" w14:textId="01AFD80F" w:rsidR="00D151E1" w:rsidRPr="00275551" w:rsidRDefault="00C04C28" w:rsidP="00C04C28">
      <w:pPr>
        <w:widowControl/>
        <w:autoSpaceDE/>
        <w:autoSpaceDN/>
        <w:adjustRightInd/>
        <w:spacing w:after="160" w:line="259" w:lineRule="auto"/>
        <w:rPr>
          <w:rFonts w:asciiTheme="minorHAnsi" w:eastAsia="Calibri" w:hAnsiTheme="minorHAnsi" w:cs="Latha"/>
          <w:color w:val="auto"/>
          <w:sz w:val="28"/>
          <w:szCs w:val="28"/>
          <w:lang w:val="en-GB"/>
        </w:rPr>
      </w:pPr>
      <w:r w:rsidRPr="00275551">
        <w:rPr>
          <w:rFonts w:asciiTheme="minorHAnsi" w:eastAsia="Calibri" w:hAnsiTheme="minorHAnsi" w:cs="Latha"/>
          <w:color w:val="auto"/>
          <w:sz w:val="28"/>
          <w:szCs w:val="28"/>
          <w:lang w:val="en-GB"/>
        </w:rPr>
        <w:lastRenderedPageBreak/>
        <w:t>Group-II ( oral hygiene instructions given orally)</w:t>
      </w:r>
    </w:p>
    <w:tbl>
      <w:tblPr>
        <w:tblStyle w:val="TableGrid"/>
        <w:tblW w:w="9944" w:type="dxa"/>
        <w:tblLook w:val="04A0" w:firstRow="1" w:lastRow="0" w:firstColumn="1" w:lastColumn="0" w:noHBand="0" w:noVBand="1"/>
      </w:tblPr>
      <w:tblGrid>
        <w:gridCol w:w="4970"/>
        <w:gridCol w:w="4974"/>
      </w:tblGrid>
      <w:tr w:rsidR="00E42228" w:rsidRPr="00275551" w14:paraId="653E7570" w14:textId="77777777" w:rsidTr="00922C7A">
        <w:trPr>
          <w:trHeight w:val="256"/>
        </w:trPr>
        <w:tc>
          <w:tcPr>
            <w:tcW w:w="4970" w:type="dxa"/>
          </w:tcPr>
          <w:p w14:paraId="3FCB39D7" w14:textId="7547C3BB" w:rsidR="00602063" w:rsidRPr="00922C7A" w:rsidRDefault="00D62551" w:rsidP="00C04C28">
            <w:pPr>
              <w:widowControl/>
              <w:autoSpaceDE/>
              <w:autoSpaceDN/>
              <w:adjustRightInd/>
              <w:spacing w:after="160" w:line="259" w:lineRule="auto"/>
              <w:rPr>
                <w:rFonts w:asciiTheme="minorHAnsi" w:eastAsia="Calibri" w:hAnsiTheme="minorHAnsi" w:cs="Latha"/>
                <w:color w:val="auto"/>
                <w:sz w:val="22"/>
                <w:szCs w:val="22"/>
                <w:lang w:val="en-GB"/>
              </w:rPr>
            </w:pPr>
            <w:r w:rsidRPr="00922C7A">
              <w:rPr>
                <w:rFonts w:asciiTheme="minorHAnsi" w:eastAsia="Calibri" w:hAnsiTheme="minorHAnsi" w:cs="Latha"/>
                <w:color w:val="auto"/>
                <w:sz w:val="22"/>
                <w:szCs w:val="22"/>
                <w:lang w:val="en-GB"/>
              </w:rPr>
              <w:t xml:space="preserve">                                    </w:t>
            </w:r>
            <w:r w:rsidR="00602063" w:rsidRPr="00922C7A">
              <w:rPr>
                <w:rFonts w:asciiTheme="minorHAnsi" w:eastAsia="Calibri" w:hAnsiTheme="minorHAnsi" w:cs="Latha"/>
                <w:color w:val="auto"/>
                <w:sz w:val="22"/>
                <w:szCs w:val="22"/>
                <w:lang w:val="en-GB"/>
              </w:rPr>
              <w:t>MEAN OF OHI</w:t>
            </w:r>
          </w:p>
        </w:tc>
        <w:tc>
          <w:tcPr>
            <w:tcW w:w="4974" w:type="dxa"/>
          </w:tcPr>
          <w:p w14:paraId="7276C3DF" w14:textId="5D2CCA54" w:rsidR="00602063" w:rsidRPr="00922C7A" w:rsidRDefault="00602063" w:rsidP="00C04C28">
            <w:pPr>
              <w:widowControl/>
              <w:autoSpaceDE/>
              <w:autoSpaceDN/>
              <w:adjustRightInd/>
              <w:spacing w:after="160" w:line="259" w:lineRule="auto"/>
              <w:rPr>
                <w:rFonts w:asciiTheme="minorHAnsi" w:eastAsia="Calibri" w:hAnsiTheme="minorHAnsi" w:cs="Latha"/>
                <w:color w:val="auto"/>
                <w:sz w:val="22"/>
                <w:szCs w:val="22"/>
                <w:lang w:val="en-GB"/>
              </w:rPr>
            </w:pPr>
            <w:r w:rsidRPr="00922C7A">
              <w:rPr>
                <w:rFonts w:asciiTheme="minorHAnsi" w:eastAsia="Calibri" w:hAnsiTheme="minorHAnsi" w:cs="Latha"/>
                <w:color w:val="auto"/>
                <w:sz w:val="22"/>
                <w:szCs w:val="22"/>
                <w:lang w:val="en-GB"/>
              </w:rPr>
              <w:t xml:space="preserve"> </w:t>
            </w:r>
            <w:r w:rsidR="00D62551" w:rsidRPr="00922C7A">
              <w:rPr>
                <w:rFonts w:asciiTheme="minorHAnsi" w:eastAsia="Calibri" w:hAnsiTheme="minorHAnsi" w:cs="Latha"/>
                <w:color w:val="auto"/>
                <w:sz w:val="22"/>
                <w:szCs w:val="22"/>
                <w:lang w:val="en-GB"/>
              </w:rPr>
              <w:t xml:space="preserve">                                 </w:t>
            </w:r>
            <w:r w:rsidRPr="00922C7A">
              <w:rPr>
                <w:rFonts w:asciiTheme="minorHAnsi" w:eastAsia="Calibri" w:hAnsiTheme="minorHAnsi" w:cs="Latha"/>
                <w:color w:val="auto"/>
                <w:sz w:val="22"/>
                <w:szCs w:val="22"/>
                <w:lang w:val="en-GB"/>
              </w:rPr>
              <w:t>MEAN OF PHP</w:t>
            </w:r>
          </w:p>
        </w:tc>
      </w:tr>
      <w:tr w:rsidR="00E42228" w:rsidRPr="00275551" w14:paraId="5F1926EA" w14:textId="77777777" w:rsidTr="00922C7A">
        <w:trPr>
          <w:trHeight w:val="453"/>
        </w:trPr>
        <w:tc>
          <w:tcPr>
            <w:tcW w:w="4970" w:type="dxa"/>
          </w:tcPr>
          <w:p w14:paraId="282C35E3" w14:textId="7A5B18CF" w:rsidR="00602063" w:rsidRPr="00922C7A" w:rsidRDefault="00602063" w:rsidP="00C04C28">
            <w:pPr>
              <w:widowControl/>
              <w:autoSpaceDE/>
              <w:autoSpaceDN/>
              <w:adjustRightInd/>
              <w:spacing w:after="160" w:line="259" w:lineRule="auto"/>
              <w:rPr>
                <w:rFonts w:asciiTheme="minorHAnsi" w:eastAsia="Calibri" w:hAnsiTheme="minorHAnsi" w:cs="Latha"/>
                <w:color w:val="auto"/>
                <w:sz w:val="22"/>
                <w:szCs w:val="22"/>
                <w:lang w:val="en-GB"/>
              </w:rPr>
            </w:pPr>
            <w:r w:rsidRPr="00922C7A">
              <w:rPr>
                <w:rFonts w:asciiTheme="minorHAnsi" w:eastAsia="Calibri" w:hAnsiTheme="minorHAnsi" w:cs="Latha"/>
                <w:color w:val="auto"/>
                <w:sz w:val="22"/>
                <w:szCs w:val="22"/>
                <w:lang w:val="en-GB"/>
              </w:rPr>
              <w:t>BEFORE INSTRUCTIONS            AFTER INSTRUCTIONS</w:t>
            </w:r>
          </w:p>
        </w:tc>
        <w:tc>
          <w:tcPr>
            <w:tcW w:w="4974" w:type="dxa"/>
          </w:tcPr>
          <w:p w14:paraId="431C0408" w14:textId="064DE49B" w:rsidR="00602063" w:rsidRPr="00922C7A" w:rsidRDefault="00D62551" w:rsidP="00C04C28">
            <w:pPr>
              <w:widowControl/>
              <w:autoSpaceDE/>
              <w:autoSpaceDN/>
              <w:adjustRightInd/>
              <w:spacing w:after="160" w:line="259" w:lineRule="auto"/>
              <w:rPr>
                <w:rFonts w:asciiTheme="minorHAnsi" w:eastAsia="Calibri" w:hAnsiTheme="minorHAnsi" w:cs="Latha"/>
                <w:color w:val="auto"/>
                <w:sz w:val="22"/>
                <w:szCs w:val="22"/>
                <w:lang w:val="en-GB"/>
              </w:rPr>
            </w:pPr>
            <w:r w:rsidRPr="00922C7A">
              <w:rPr>
                <w:rFonts w:asciiTheme="minorHAnsi" w:eastAsia="Calibri" w:hAnsiTheme="minorHAnsi" w:cs="Latha"/>
                <w:color w:val="auto"/>
                <w:sz w:val="22"/>
                <w:szCs w:val="22"/>
                <w:lang w:val="en-GB"/>
              </w:rPr>
              <w:t>BEFORE INSTRUCTIONS             AFTER INSTRUCTIONS</w:t>
            </w:r>
          </w:p>
        </w:tc>
      </w:tr>
      <w:tr w:rsidR="00E42228" w:rsidRPr="00275551" w14:paraId="7D063EA3" w14:textId="77777777" w:rsidTr="00922C7A">
        <w:trPr>
          <w:trHeight w:val="243"/>
        </w:trPr>
        <w:tc>
          <w:tcPr>
            <w:tcW w:w="4970" w:type="dxa"/>
          </w:tcPr>
          <w:p w14:paraId="62F6BE51" w14:textId="2F9E3CBE" w:rsidR="00602063" w:rsidRPr="00922C7A" w:rsidRDefault="00952917" w:rsidP="00C04C28">
            <w:pPr>
              <w:widowControl/>
              <w:autoSpaceDE/>
              <w:autoSpaceDN/>
              <w:adjustRightInd/>
              <w:spacing w:after="160" w:line="259" w:lineRule="auto"/>
              <w:rPr>
                <w:rFonts w:asciiTheme="minorHAnsi" w:eastAsia="Calibri" w:hAnsiTheme="minorHAnsi" w:cs="Latha"/>
                <w:color w:val="auto"/>
                <w:sz w:val="22"/>
                <w:szCs w:val="22"/>
                <w:lang w:val="en-GB"/>
              </w:rPr>
            </w:pPr>
            <w:r>
              <w:rPr>
                <w:rFonts w:asciiTheme="minorHAnsi" w:eastAsia="Calibri" w:hAnsiTheme="minorHAnsi" w:cs="Latha"/>
                <w:color w:val="auto"/>
                <w:sz w:val="22"/>
                <w:szCs w:val="22"/>
                <w:lang w:val="en-GB"/>
              </w:rPr>
              <w:t xml:space="preserve">         </w:t>
            </w:r>
            <w:r w:rsidR="00D62551" w:rsidRPr="00922C7A">
              <w:rPr>
                <w:rFonts w:asciiTheme="minorHAnsi" w:eastAsia="Calibri" w:hAnsiTheme="minorHAnsi" w:cs="Latha"/>
                <w:color w:val="auto"/>
                <w:sz w:val="22"/>
                <w:szCs w:val="22"/>
                <w:lang w:val="en-GB"/>
              </w:rPr>
              <w:t>2.31</w:t>
            </w:r>
            <w:r w:rsidR="001A46D0" w:rsidRPr="00922C7A">
              <w:rPr>
                <w:rFonts w:asciiTheme="minorHAnsi" w:eastAsia="Calibri" w:hAnsiTheme="minorHAnsi" w:cs="Latha"/>
                <w:color w:val="auto"/>
                <w:sz w:val="22"/>
                <w:szCs w:val="22"/>
                <w:lang w:val="en-GB"/>
              </w:rPr>
              <w:t xml:space="preserve">                                                2.09</w:t>
            </w:r>
          </w:p>
        </w:tc>
        <w:tc>
          <w:tcPr>
            <w:tcW w:w="4974" w:type="dxa"/>
          </w:tcPr>
          <w:p w14:paraId="2EF00510" w14:textId="10178D50" w:rsidR="00602063" w:rsidRPr="00922C7A" w:rsidRDefault="00952917" w:rsidP="00C04C28">
            <w:pPr>
              <w:widowControl/>
              <w:autoSpaceDE/>
              <w:autoSpaceDN/>
              <w:adjustRightInd/>
              <w:spacing w:after="160" w:line="259" w:lineRule="auto"/>
              <w:rPr>
                <w:rFonts w:asciiTheme="minorHAnsi" w:eastAsia="Calibri" w:hAnsiTheme="minorHAnsi" w:cs="Latha"/>
                <w:color w:val="auto"/>
                <w:sz w:val="22"/>
                <w:szCs w:val="22"/>
                <w:lang w:val="en-GB"/>
              </w:rPr>
            </w:pPr>
            <w:r>
              <w:rPr>
                <w:rFonts w:asciiTheme="minorHAnsi" w:eastAsia="Calibri" w:hAnsiTheme="minorHAnsi" w:cs="Latha"/>
                <w:color w:val="auto"/>
                <w:sz w:val="22"/>
                <w:szCs w:val="22"/>
                <w:lang w:val="en-GB"/>
              </w:rPr>
              <w:t xml:space="preserve">         </w:t>
            </w:r>
            <w:r w:rsidR="001A46D0" w:rsidRPr="00922C7A">
              <w:rPr>
                <w:rFonts w:asciiTheme="minorHAnsi" w:eastAsia="Calibri" w:hAnsiTheme="minorHAnsi" w:cs="Latha"/>
                <w:color w:val="auto"/>
                <w:sz w:val="22"/>
                <w:szCs w:val="22"/>
                <w:lang w:val="en-GB"/>
              </w:rPr>
              <w:t>0.3                                                  0.2</w:t>
            </w:r>
          </w:p>
        </w:tc>
      </w:tr>
    </w:tbl>
    <w:p w14:paraId="0C3C23C7" w14:textId="77777777" w:rsidR="00E766EA" w:rsidRPr="00275551" w:rsidRDefault="00E766EA" w:rsidP="00C04C28">
      <w:pPr>
        <w:widowControl/>
        <w:autoSpaceDE/>
        <w:autoSpaceDN/>
        <w:adjustRightInd/>
        <w:spacing w:after="160" w:line="259" w:lineRule="auto"/>
        <w:rPr>
          <w:rFonts w:asciiTheme="minorHAnsi" w:eastAsia="Calibri" w:hAnsiTheme="minorHAnsi" w:cs="Latha"/>
          <w:color w:val="auto"/>
          <w:sz w:val="32"/>
          <w:szCs w:val="32"/>
          <w:lang w:val="en-GB"/>
        </w:rPr>
      </w:pPr>
    </w:p>
    <w:p w14:paraId="7A35495A" w14:textId="77777777" w:rsidR="00E766EA" w:rsidRPr="00275551" w:rsidRDefault="00E766EA" w:rsidP="00C04C28">
      <w:pPr>
        <w:widowControl/>
        <w:autoSpaceDE/>
        <w:autoSpaceDN/>
        <w:adjustRightInd/>
        <w:spacing w:after="160" w:line="259" w:lineRule="auto"/>
        <w:rPr>
          <w:rFonts w:asciiTheme="minorHAnsi" w:eastAsia="Calibri" w:hAnsiTheme="minorHAnsi" w:cs="Latha"/>
          <w:color w:val="auto"/>
          <w:sz w:val="32"/>
          <w:szCs w:val="32"/>
          <w:lang w:val="en-GB"/>
        </w:rPr>
      </w:pPr>
    </w:p>
    <w:p w14:paraId="5D38E425" w14:textId="520059FE" w:rsidR="00BD37E1" w:rsidRPr="00275551" w:rsidRDefault="00C04C28" w:rsidP="00C04C28">
      <w:pPr>
        <w:widowControl/>
        <w:autoSpaceDE/>
        <w:autoSpaceDN/>
        <w:adjustRightInd/>
        <w:spacing w:after="160" w:line="259" w:lineRule="auto"/>
        <w:rPr>
          <w:rFonts w:asciiTheme="minorHAnsi" w:eastAsia="Calibri" w:hAnsiTheme="minorHAnsi" w:cs="Latha"/>
          <w:color w:val="auto"/>
          <w:sz w:val="28"/>
          <w:szCs w:val="28"/>
          <w:lang w:val="en-GB"/>
        </w:rPr>
      </w:pPr>
      <w:r w:rsidRPr="00275551">
        <w:rPr>
          <w:rFonts w:asciiTheme="minorHAnsi" w:eastAsia="Calibri" w:hAnsiTheme="minorHAnsi" w:cs="Latha"/>
          <w:color w:val="auto"/>
          <w:sz w:val="28"/>
          <w:szCs w:val="28"/>
          <w:lang w:val="en-GB"/>
        </w:rPr>
        <w:t xml:space="preserve">Group-III ( No oral hygiene instructions were given) </w:t>
      </w:r>
    </w:p>
    <w:tbl>
      <w:tblPr>
        <w:tblStyle w:val="TableGrid"/>
        <w:tblW w:w="0" w:type="auto"/>
        <w:tblLook w:val="04A0" w:firstRow="1" w:lastRow="0" w:firstColumn="1" w:lastColumn="0" w:noHBand="0" w:noVBand="1"/>
      </w:tblPr>
      <w:tblGrid>
        <w:gridCol w:w="4973"/>
        <w:gridCol w:w="4976"/>
      </w:tblGrid>
      <w:tr w:rsidR="00E42228" w:rsidRPr="00275551" w14:paraId="6BDC50BB" w14:textId="77777777" w:rsidTr="00952917">
        <w:trPr>
          <w:trHeight w:val="230"/>
        </w:trPr>
        <w:tc>
          <w:tcPr>
            <w:tcW w:w="4973" w:type="dxa"/>
          </w:tcPr>
          <w:p w14:paraId="68E7704A" w14:textId="348714F1" w:rsidR="006178AA" w:rsidRPr="00952917" w:rsidRDefault="00B430CC" w:rsidP="00C04C28">
            <w:pPr>
              <w:widowControl/>
              <w:autoSpaceDE/>
              <w:autoSpaceDN/>
              <w:adjustRightInd/>
              <w:spacing w:after="160" w:line="259" w:lineRule="auto"/>
              <w:rPr>
                <w:rFonts w:asciiTheme="minorHAnsi" w:eastAsia="Calibri" w:hAnsiTheme="minorHAnsi" w:cs="Latha"/>
                <w:color w:val="auto"/>
                <w:sz w:val="22"/>
                <w:szCs w:val="22"/>
                <w:lang w:val="en-GB"/>
              </w:rPr>
            </w:pPr>
            <w:r w:rsidRPr="00952917">
              <w:rPr>
                <w:rFonts w:asciiTheme="minorHAnsi" w:eastAsia="Calibri" w:hAnsiTheme="minorHAnsi" w:cs="Latha"/>
                <w:color w:val="auto"/>
                <w:sz w:val="22"/>
                <w:szCs w:val="22"/>
                <w:lang w:val="en-GB"/>
              </w:rPr>
              <w:t xml:space="preserve">                                  </w:t>
            </w:r>
            <w:r w:rsidR="006178AA" w:rsidRPr="00952917">
              <w:rPr>
                <w:rFonts w:asciiTheme="minorHAnsi" w:eastAsia="Calibri" w:hAnsiTheme="minorHAnsi" w:cs="Latha"/>
                <w:color w:val="auto"/>
                <w:sz w:val="22"/>
                <w:szCs w:val="22"/>
                <w:lang w:val="en-GB"/>
              </w:rPr>
              <w:t>MEAN OF OHI</w:t>
            </w:r>
          </w:p>
        </w:tc>
        <w:tc>
          <w:tcPr>
            <w:tcW w:w="4976" w:type="dxa"/>
          </w:tcPr>
          <w:p w14:paraId="11CBB58E" w14:textId="3D3B2177" w:rsidR="006178AA" w:rsidRPr="00952917" w:rsidRDefault="00B430CC" w:rsidP="00C04C28">
            <w:pPr>
              <w:widowControl/>
              <w:autoSpaceDE/>
              <w:autoSpaceDN/>
              <w:adjustRightInd/>
              <w:spacing w:after="160" w:line="259" w:lineRule="auto"/>
              <w:rPr>
                <w:rFonts w:asciiTheme="minorHAnsi" w:eastAsia="Calibri" w:hAnsiTheme="minorHAnsi" w:cs="Latha"/>
                <w:color w:val="auto"/>
                <w:sz w:val="22"/>
                <w:szCs w:val="22"/>
                <w:lang w:val="en-GB"/>
              </w:rPr>
            </w:pPr>
            <w:r w:rsidRPr="00952917">
              <w:rPr>
                <w:rFonts w:asciiTheme="minorHAnsi" w:eastAsia="Calibri" w:hAnsiTheme="minorHAnsi" w:cs="Latha"/>
                <w:color w:val="auto"/>
                <w:sz w:val="22"/>
                <w:szCs w:val="22"/>
                <w:lang w:val="en-GB"/>
              </w:rPr>
              <w:t xml:space="preserve">                                    </w:t>
            </w:r>
            <w:r w:rsidR="006178AA" w:rsidRPr="00952917">
              <w:rPr>
                <w:rFonts w:asciiTheme="minorHAnsi" w:eastAsia="Calibri" w:hAnsiTheme="minorHAnsi" w:cs="Latha"/>
                <w:color w:val="auto"/>
                <w:sz w:val="22"/>
                <w:szCs w:val="22"/>
                <w:lang w:val="en-GB"/>
              </w:rPr>
              <w:t>MEAN OF PHP</w:t>
            </w:r>
          </w:p>
        </w:tc>
      </w:tr>
      <w:tr w:rsidR="00E42228" w:rsidRPr="00275551" w14:paraId="4C8168E7" w14:textId="77777777" w:rsidTr="00952917">
        <w:trPr>
          <w:trHeight w:val="448"/>
        </w:trPr>
        <w:tc>
          <w:tcPr>
            <w:tcW w:w="4973" w:type="dxa"/>
          </w:tcPr>
          <w:p w14:paraId="7E11FF94" w14:textId="4481A540" w:rsidR="006178AA" w:rsidRPr="00952917" w:rsidRDefault="006178AA" w:rsidP="00C04C28">
            <w:pPr>
              <w:widowControl/>
              <w:autoSpaceDE/>
              <w:autoSpaceDN/>
              <w:adjustRightInd/>
              <w:spacing w:after="160" w:line="259" w:lineRule="auto"/>
              <w:rPr>
                <w:rFonts w:asciiTheme="minorHAnsi" w:eastAsia="Calibri" w:hAnsiTheme="minorHAnsi" w:cs="Latha"/>
                <w:color w:val="auto"/>
                <w:sz w:val="22"/>
                <w:szCs w:val="22"/>
                <w:lang w:val="en-GB"/>
              </w:rPr>
            </w:pPr>
            <w:r w:rsidRPr="00952917">
              <w:rPr>
                <w:rFonts w:asciiTheme="minorHAnsi" w:eastAsia="Calibri" w:hAnsiTheme="minorHAnsi" w:cs="Latha"/>
                <w:color w:val="auto"/>
                <w:sz w:val="22"/>
                <w:szCs w:val="22"/>
                <w:lang w:val="en-GB"/>
              </w:rPr>
              <w:t>BEFORE INSTRUCTIONS          AFTER INSTRUCTIONS</w:t>
            </w:r>
          </w:p>
        </w:tc>
        <w:tc>
          <w:tcPr>
            <w:tcW w:w="4976" w:type="dxa"/>
          </w:tcPr>
          <w:p w14:paraId="36B80415" w14:textId="1E795987" w:rsidR="006178AA" w:rsidRPr="00952917" w:rsidRDefault="00952917" w:rsidP="00C04C28">
            <w:pPr>
              <w:widowControl/>
              <w:autoSpaceDE/>
              <w:autoSpaceDN/>
              <w:adjustRightInd/>
              <w:spacing w:after="160" w:line="259" w:lineRule="auto"/>
              <w:rPr>
                <w:rFonts w:asciiTheme="minorHAnsi" w:eastAsia="Calibri" w:hAnsiTheme="minorHAnsi" w:cs="Latha"/>
                <w:color w:val="auto"/>
                <w:sz w:val="22"/>
                <w:szCs w:val="22"/>
                <w:lang w:val="en-GB"/>
              </w:rPr>
            </w:pPr>
            <w:r>
              <w:rPr>
                <w:rFonts w:asciiTheme="minorHAnsi" w:eastAsia="Calibri" w:hAnsiTheme="minorHAnsi" w:cs="Latha"/>
                <w:color w:val="auto"/>
                <w:sz w:val="22"/>
                <w:szCs w:val="22"/>
                <w:lang w:val="en-GB"/>
              </w:rPr>
              <w:t xml:space="preserve">BEFORE INSTRUCTIONS           </w:t>
            </w:r>
            <w:r w:rsidR="00E766EA" w:rsidRPr="00952917">
              <w:rPr>
                <w:rFonts w:asciiTheme="minorHAnsi" w:eastAsia="Calibri" w:hAnsiTheme="minorHAnsi" w:cs="Latha"/>
                <w:color w:val="auto"/>
                <w:sz w:val="22"/>
                <w:szCs w:val="22"/>
                <w:lang w:val="en-GB"/>
              </w:rPr>
              <w:t xml:space="preserve">   AFTER </w:t>
            </w:r>
            <w:r w:rsidR="006178AA" w:rsidRPr="00952917">
              <w:rPr>
                <w:rFonts w:asciiTheme="minorHAnsi" w:eastAsia="Calibri" w:hAnsiTheme="minorHAnsi" w:cs="Latha"/>
                <w:color w:val="auto"/>
                <w:sz w:val="22"/>
                <w:szCs w:val="22"/>
                <w:lang w:val="en-GB"/>
              </w:rPr>
              <w:t>INSTRUCTIONS</w:t>
            </w:r>
          </w:p>
        </w:tc>
      </w:tr>
      <w:tr w:rsidR="00E42228" w:rsidRPr="00275551" w14:paraId="6FE23CA3" w14:textId="77777777" w:rsidTr="00952917">
        <w:trPr>
          <w:trHeight w:val="217"/>
        </w:trPr>
        <w:tc>
          <w:tcPr>
            <w:tcW w:w="4973" w:type="dxa"/>
          </w:tcPr>
          <w:p w14:paraId="1BA24681" w14:textId="62BB5AD0" w:rsidR="006178AA" w:rsidRPr="00952917" w:rsidRDefault="00952917" w:rsidP="00C04C28">
            <w:pPr>
              <w:widowControl/>
              <w:autoSpaceDE/>
              <w:autoSpaceDN/>
              <w:adjustRightInd/>
              <w:spacing w:after="160" w:line="259" w:lineRule="auto"/>
              <w:rPr>
                <w:rFonts w:asciiTheme="minorHAnsi" w:eastAsia="Calibri" w:hAnsiTheme="minorHAnsi" w:cs="Latha"/>
                <w:color w:val="auto"/>
                <w:sz w:val="22"/>
                <w:szCs w:val="22"/>
                <w:lang w:val="en-GB"/>
              </w:rPr>
            </w:pPr>
            <w:r>
              <w:rPr>
                <w:rFonts w:asciiTheme="minorHAnsi" w:eastAsia="Calibri" w:hAnsiTheme="minorHAnsi" w:cs="Latha"/>
                <w:color w:val="auto"/>
                <w:sz w:val="22"/>
                <w:szCs w:val="22"/>
                <w:lang w:val="en-GB"/>
              </w:rPr>
              <w:t xml:space="preserve">       </w:t>
            </w:r>
            <w:r w:rsidR="006178AA" w:rsidRPr="00952917">
              <w:rPr>
                <w:rFonts w:asciiTheme="minorHAnsi" w:eastAsia="Calibri" w:hAnsiTheme="minorHAnsi" w:cs="Latha"/>
                <w:color w:val="auto"/>
                <w:sz w:val="22"/>
                <w:szCs w:val="22"/>
                <w:lang w:val="en-GB"/>
              </w:rPr>
              <w:t>3.7</w:t>
            </w:r>
            <w:r w:rsidR="00B430CC" w:rsidRPr="00952917">
              <w:rPr>
                <w:rFonts w:asciiTheme="minorHAnsi" w:eastAsia="Calibri" w:hAnsiTheme="minorHAnsi" w:cs="Latha"/>
                <w:color w:val="auto"/>
                <w:sz w:val="22"/>
                <w:szCs w:val="22"/>
                <w:lang w:val="en-GB"/>
              </w:rPr>
              <w:t xml:space="preserve">                                                3.3</w:t>
            </w:r>
          </w:p>
        </w:tc>
        <w:tc>
          <w:tcPr>
            <w:tcW w:w="4976" w:type="dxa"/>
          </w:tcPr>
          <w:p w14:paraId="3B777B82" w14:textId="485AE977" w:rsidR="006178AA" w:rsidRPr="00952917" w:rsidRDefault="00952917" w:rsidP="00C04C28">
            <w:pPr>
              <w:widowControl/>
              <w:autoSpaceDE/>
              <w:autoSpaceDN/>
              <w:adjustRightInd/>
              <w:spacing w:after="160" w:line="259" w:lineRule="auto"/>
              <w:rPr>
                <w:rFonts w:asciiTheme="minorHAnsi" w:eastAsia="Calibri" w:hAnsiTheme="minorHAnsi" w:cs="Latha"/>
                <w:color w:val="auto"/>
                <w:sz w:val="22"/>
                <w:szCs w:val="22"/>
                <w:lang w:val="en-GB"/>
              </w:rPr>
            </w:pPr>
            <w:r>
              <w:rPr>
                <w:rFonts w:asciiTheme="minorHAnsi" w:eastAsia="Calibri" w:hAnsiTheme="minorHAnsi" w:cs="Latha"/>
                <w:color w:val="auto"/>
                <w:sz w:val="22"/>
                <w:szCs w:val="22"/>
                <w:lang w:val="en-GB"/>
              </w:rPr>
              <w:t xml:space="preserve">       </w:t>
            </w:r>
            <w:r w:rsidR="006178AA" w:rsidRPr="00952917">
              <w:rPr>
                <w:rFonts w:asciiTheme="minorHAnsi" w:eastAsia="Calibri" w:hAnsiTheme="minorHAnsi" w:cs="Latha"/>
                <w:color w:val="auto"/>
                <w:sz w:val="22"/>
                <w:szCs w:val="22"/>
                <w:lang w:val="en-GB"/>
              </w:rPr>
              <w:t>0.3</w:t>
            </w:r>
            <w:r w:rsidR="00B430CC" w:rsidRPr="00952917">
              <w:rPr>
                <w:rFonts w:asciiTheme="minorHAnsi" w:eastAsia="Calibri" w:hAnsiTheme="minorHAnsi" w:cs="Latha"/>
                <w:color w:val="auto"/>
                <w:sz w:val="22"/>
                <w:szCs w:val="22"/>
                <w:lang w:val="en-GB"/>
              </w:rPr>
              <w:t xml:space="preserve">                                                      0.2</w:t>
            </w:r>
          </w:p>
        </w:tc>
      </w:tr>
    </w:tbl>
    <w:p w14:paraId="071C1D5C" w14:textId="77777777" w:rsidR="00275551" w:rsidRDefault="00275551" w:rsidP="009B544C">
      <w:pPr>
        <w:widowControl/>
        <w:autoSpaceDE/>
        <w:autoSpaceDN/>
        <w:adjustRightInd/>
        <w:spacing w:after="160" w:line="259" w:lineRule="auto"/>
        <w:rPr>
          <w:rFonts w:asciiTheme="minorHAnsi" w:eastAsia="Calibri" w:hAnsiTheme="minorHAnsi" w:cs="Latha"/>
          <w:color w:val="auto"/>
          <w:sz w:val="32"/>
          <w:szCs w:val="32"/>
          <w:lang w:val="en-GB"/>
        </w:rPr>
      </w:pPr>
    </w:p>
    <w:p w14:paraId="59733417" w14:textId="77777777" w:rsidR="00275551" w:rsidRDefault="00275551" w:rsidP="009B544C">
      <w:pPr>
        <w:widowControl/>
        <w:autoSpaceDE/>
        <w:autoSpaceDN/>
        <w:adjustRightInd/>
        <w:spacing w:after="160" w:line="259" w:lineRule="auto"/>
        <w:rPr>
          <w:rFonts w:asciiTheme="minorHAnsi" w:eastAsia="Calibri" w:hAnsiTheme="minorHAnsi" w:cs="Latha"/>
          <w:color w:val="auto"/>
          <w:sz w:val="32"/>
          <w:szCs w:val="32"/>
          <w:lang w:val="en-GB"/>
        </w:rPr>
      </w:pPr>
    </w:p>
    <w:p w14:paraId="1F520410" w14:textId="1C6E5371" w:rsidR="009B544C" w:rsidRPr="00275551" w:rsidRDefault="009B544C" w:rsidP="009B544C">
      <w:pPr>
        <w:widowControl/>
        <w:autoSpaceDE/>
        <w:autoSpaceDN/>
        <w:adjustRightInd/>
        <w:spacing w:after="160" w:line="259" w:lineRule="auto"/>
        <w:rPr>
          <w:rFonts w:asciiTheme="minorHAnsi" w:eastAsia="Calibri" w:hAnsiTheme="minorHAnsi" w:cs="Latha"/>
          <w:color w:val="auto"/>
          <w:sz w:val="28"/>
          <w:szCs w:val="28"/>
          <w:lang w:val="en-GB"/>
        </w:rPr>
      </w:pPr>
      <w:r w:rsidRPr="00275551">
        <w:rPr>
          <w:rFonts w:asciiTheme="minorHAnsi" w:eastAsia="Calibri" w:hAnsiTheme="minorHAnsi" w:cs="Latha"/>
          <w:color w:val="auto"/>
          <w:sz w:val="28"/>
          <w:szCs w:val="28"/>
          <w:lang w:val="en-GB"/>
        </w:rPr>
        <w:t>Comparison of OHI for three groups</w:t>
      </w:r>
      <w:r w:rsidR="00066FD5">
        <w:rPr>
          <w:rFonts w:asciiTheme="minorHAnsi" w:eastAsia="Calibri" w:hAnsiTheme="minorHAnsi" w:cs="Latha"/>
          <w:color w:val="auto"/>
          <w:sz w:val="28"/>
          <w:szCs w:val="28"/>
          <w:lang w:val="en-GB"/>
        </w:rPr>
        <w:t>:</w:t>
      </w:r>
    </w:p>
    <w:tbl>
      <w:tblPr>
        <w:tblStyle w:val="TableGrid"/>
        <w:tblpPr w:leftFromText="180" w:rightFromText="180" w:vertAnchor="page" w:horzAnchor="margin" w:tblpY="7291"/>
        <w:tblOverlap w:val="never"/>
        <w:tblW w:w="0" w:type="auto"/>
        <w:tblLook w:val="04A0" w:firstRow="1" w:lastRow="0" w:firstColumn="1" w:lastColumn="0" w:noHBand="0" w:noVBand="1"/>
      </w:tblPr>
      <w:tblGrid>
        <w:gridCol w:w="1600"/>
        <w:gridCol w:w="1771"/>
        <w:gridCol w:w="1768"/>
        <w:gridCol w:w="1021"/>
      </w:tblGrid>
      <w:tr w:rsidR="00952917" w:rsidRPr="00952917" w14:paraId="265C9245" w14:textId="77777777" w:rsidTr="00952917">
        <w:trPr>
          <w:trHeight w:val="342"/>
        </w:trPr>
        <w:tc>
          <w:tcPr>
            <w:tcW w:w="1600" w:type="dxa"/>
          </w:tcPr>
          <w:p w14:paraId="33E55E05" w14:textId="77777777" w:rsidR="006A2BCC" w:rsidRPr="00952917" w:rsidRDefault="006A2BCC" w:rsidP="006A2BCC">
            <w:pPr>
              <w:widowControl/>
              <w:autoSpaceDE/>
              <w:autoSpaceDN/>
              <w:adjustRightInd/>
              <w:spacing w:after="160" w:line="259" w:lineRule="auto"/>
              <w:rPr>
                <w:rFonts w:asciiTheme="minorHAnsi" w:eastAsia="Calibri" w:hAnsiTheme="minorHAnsi" w:cs="Latha"/>
                <w:color w:val="auto"/>
                <w:sz w:val="22"/>
                <w:szCs w:val="22"/>
                <w:lang w:val="en-GB"/>
              </w:rPr>
            </w:pPr>
          </w:p>
        </w:tc>
        <w:tc>
          <w:tcPr>
            <w:tcW w:w="1771" w:type="dxa"/>
          </w:tcPr>
          <w:p w14:paraId="0154A6DC" w14:textId="77777777" w:rsidR="006A2BCC" w:rsidRPr="00952917" w:rsidRDefault="006A2BCC" w:rsidP="006A2BCC">
            <w:pPr>
              <w:widowControl/>
              <w:autoSpaceDE/>
              <w:autoSpaceDN/>
              <w:adjustRightInd/>
              <w:spacing w:after="160" w:line="259" w:lineRule="auto"/>
              <w:rPr>
                <w:rFonts w:asciiTheme="minorHAnsi" w:eastAsia="Calibri" w:hAnsiTheme="minorHAnsi" w:cs="Latha"/>
                <w:color w:val="auto"/>
                <w:sz w:val="22"/>
                <w:szCs w:val="22"/>
                <w:lang w:val="en-GB"/>
              </w:rPr>
            </w:pPr>
            <w:r w:rsidRPr="00952917">
              <w:rPr>
                <w:rFonts w:asciiTheme="minorHAnsi" w:eastAsia="Calibri" w:hAnsiTheme="minorHAnsi" w:cs="Latha"/>
                <w:color w:val="auto"/>
                <w:sz w:val="22"/>
                <w:szCs w:val="22"/>
                <w:lang w:val="en-GB"/>
              </w:rPr>
              <w:t>Before instructions</w:t>
            </w:r>
          </w:p>
        </w:tc>
        <w:tc>
          <w:tcPr>
            <w:tcW w:w="1768" w:type="dxa"/>
          </w:tcPr>
          <w:p w14:paraId="2791EC83" w14:textId="77777777" w:rsidR="006A2BCC" w:rsidRPr="00952917" w:rsidRDefault="006A2BCC" w:rsidP="006A2BCC">
            <w:pPr>
              <w:widowControl/>
              <w:autoSpaceDE/>
              <w:autoSpaceDN/>
              <w:adjustRightInd/>
              <w:spacing w:after="160" w:line="259" w:lineRule="auto"/>
              <w:rPr>
                <w:rFonts w:asciiTheme="minorHAnsi" w:eastAsia="Calibri" w:hAnsiTheme="minorHAnsi" w:cs="Latha"/>
                <w:color w:val="auto"/>
                <w:sz w:val="22"/>
                <w:szCs w:val="22"/>
                <w:lang w:val="en-GB"/>
              </w:rPr>
            </w:pPr>
            <w:r w:rsidRPr="00952917">
              <w:rPr>
                <w:rFonts w:asciiTheme="minorHAnsi" w:eastAsia="Calibri" w:hAnsiTheme="minorHAnsi" w:cs="Latha"/>
                <w:color w:val="auto"/>
                <w:sz w:val="22"/>
                <w:szCs w:val="22"/>
                <w:lang w:val="en-GB"/>
              </w:rPr>
              <w:t>After instructions</w:t>
            </w:r>
          </w:p>
        </w:tc>
        <w:tc>
          <w:tcPr>
            <w:tcW w:w="1021" w:type="dxa"/>
          </w:tcPr>
          <w:p w14:paraId="242B25F9" w14:textId="77777777" w:rsidR="006A2BCC" w:rsidRPr="00952917" w:rsidRDefault="006A2BCC" w:rsidP="006A2BCC">
            <w:pPr>
              <w:widowControl/>
              <w:autoSpaceDE/>
              <w:autoSpaceDN/>
              <w:adjustRightInd/>
              <w:spacing w:after="160" w:line="259" w:lineRule="auto"/>
              <w:rPr>
                <w:rFonts w:asciiTheme="minorHAnsi" w:eastAsia="Calibri" w:hAnsiTheme="minorHAnsi" w:cs="Latha"/>
                <w:color w:val="auto"/>
                <w:sz w:val="22"/>
                <w:szCs w:val="22"/>
                <w:lang w:val="en-GB"/>
              </w:rPr>
            </w:pPr>
            <w:r w:rsidRPr="00952917">
              <w:rPr>
                <w:rFonts w:asciiTheme="minorHAnsi" w:eastAsia="Calibri" w:hAnsiTheme="minorHAnsi" w:cs="Latha"/>
                <w:color w:val="auto"/>
                <w:sz w:val="22"/>
                <w:szCs w:val="22"/>
                <w:lang w:val="en-GB"/>
              </w:rPr>
              <w:t>P value</w:t>
            </w:r>
          </w:p>
        </w:tc>
      </w:tr>
      <w:tr w:rsidR="00952917" w:rsidRPr="00952917" w14:paraId="5FCC4115" w14:textId="77777777" w:rsidTr="00952917">
        <w:trPr>
          <w:trHeight w:val="652"/>
        </w:trPr>
        <w:tc>
          <w:tcPr>
            <w:tcW w:w="1600" w:type="dxa"/>
          </w:tcPr>
          <w:p w14:paraId="486423DD" w14:textId="77777777" w:rsidR="006A2BCC" w:rsidRPr="00952917" w:rsidRDefault="006A2BCC" w:rsidP="006A2BCC">
            <w:pPr>
              <w:widowControl/>
              <w:autoSpaceDE/>
              <w:autoSpaceDN/>
              <w:adjustRightInd/>
              <w:spacing w:after="160" w:line="259" w:lineRule="auto"/>
              <w:rPr>
                <w:rFonts w:asciiTheme="minorHAnsi" w:eastAsia="Calibri" w:hAnsiTheme="minorHAnsi" w:cs="Latha"/>
                <w:color w:val="auto"/>
                <w:sz w:val="22"/>
                <w:szCs w:val="22"/>
                <w:lang w:val="en-GB"/>
              </w:rPr>
            </w:pPr>
            <w:r w:rsidRPr="00952917">
              <w:rPr>
                <w:rFonts w:asciiTheme="minorHAnsi" w:eastAsia="Calibri" w:hAnsiTheme="minorHAnsi" w:cs="Latha"/>
                <w:color w:val="auto"/>
                <w:sz w:val="22"/>
                <w:szCs w:val="22"/>
                <w:lang w:val="en-GB"/>
              </w:rPr>
              <w:t>Instructions through videos</w:t>
            </w:r>
          </w:p>
        </w:tc>
        <w:tc>
          <w:tcPr>
            <w:tcW w:w="1771" w:type="dxa"/>
          </w:tcPr>
          <w:p w14:paraId="44C0BFB9" w14:textId="77777777" w:rsidR="006A2BCC" w:rsidRPr="00952917" w:rsidRDefault="006A2BCC" w:rsidP="006A2BCC">
            <w:pPr>
              <w:widowControl/>
              <w:autoSpaceDE/>
              <w:autoSpaceDN/>
              <w:adjustRightInd/>
              <w:spacing w:after="160" w:line="259" w:lineRule="auto"/>
              <w:rPr>
                <w:rFonts w:asciiTheme="minorHAnsi" w:eastAsia="Calibri" w:hAnsiTheme="minorHAnsi" w:cs="Latha"/>
                <w:color w:val="auto"/>
                <w:sz w:val="22"/>
                <w:szCs w:val="22"/>
                <w:lang w:val="en-GB"/>
              </w:rPr>
            </w:pPr>
            <w:r w:rsidRPr="00952917">
              <w:rPr>
                <w:rFonts w:asciiTheme="minorHAnsi" w:eastAsia="Calibri" w:hAnsiTheme="minorHAnsi" w:cs="Latha"/>
                <w:color w:val="auto"/>
                <w:sz w:val="22"/>
                <w:szCs w:val="22"/>
                <w:lang w:val="en-GB"/>
              </w:rPr>
              <w:t>3.080±0.4467</w:t>
            </w:r>
          </w:p>
        </w:tc>
        <w:tc>
          <w:tcPr>
            <w:tcW w:w="1768" w:type="dxa"/>
          </w:tcPr>
          <w:p w14:paraId="3187E3B1" w14:textId="77777777" w:rsidR="006A2BCC" w:rsidRPr="00952917" w:rsidRDefault="006A2BCC" w:rsidP="006A2BCC">
            <w:pPr>
              <w:widowControl/>
              <w:autoSpaceDE/>
              <w:autoSpaceDN/>
              <w:adjustRightInd/>
              <w:spacing w:after="160" w:line="259" w:lineRule="auto"/>
              <w:rPr>
                <w:rFonts w:asciiTheme="minorHAnsi" w:eastAsia="Calibri" w:hAnsiTheme="minorHAnsi" w:cs="Latha"/>
                <w:color w:val="auto"/>
                <w:sz w:val="22"/>
                <w:szCs w:val="22"/>
                <w:lang w:val="en-GB"/>
              </w:rPr>
            </w:pPr>
            <w:r w:rsidRPr="00952917">
              <w:rPr>
                <w:rFonts w:asciiTheme="minorHAnsi" w:eastAsia="Calibri" w:hAnsiTheme="minorHAnsi" w:cs="Latha"/>
                <w:color w:val="auto"/>
                <w:sz w:val="22"/>
                <w:szCs w:val="22"/>
                <w:lang w:val="en-GB"/>
              </w:rPr>
              <w:t>1.910±0.1449</w:t>
            </w:r>
          </w:p>
        </w:tc>
        <w:tc>
          <w:tcPr>
            <w:tcW w:w="1021" w:type="dxa"/>
          </w:tcPr>
          <w:p w14:paraId="4536BBB7" w14:textId="77777777" w:rsidR="006A2BCC" w:rsidRPr="00952917" w:rsidRDefault="006A2BCC" w:rsidP="006A2BCC">
            <w:pPr>
              <w:widowControl/>
              <w:autoSpaceDE/>
              <w:autoSpaceDN/>
              <w:adjustRightInd/>
              <w:spacing w:after="160" w:line="259" w:lineRule="auto"/>
              <w:rPr>
                <w:rFonts w:asciiTheme="minorHAnsi" w:eastAsia="Calibri" w:hAnsiTheme="minorHAnsi" w:cs="Latha"/>
                <w:color w:val="auto"/>
                <w:sz w:val="22"/>
                <w:szCs w:val="22"/>
                <w:lang w:val="en-GB"/>
              </w:rPr>
            </w:pPr>
            <w:r w:rsidRPr="00952917">
              <w:rPr>
                <w:rFonts w:asciiTheme="minorHAnsi" w:eastAsia="Calibri" w:hAnsiTheme="minorHAnsi" w:cs="Latha"/>
                <w:color w:val="auto"/>
                <w:sz w:val="22"/>
                <w:szCs w:val="22"/>
                <w:lang w:val="en-GB"/>
              </w:rPr>
              <w:t>0.000*</w:t>
            </w:r>
          </w:p>
        </w:tc>
      </w:tr>
      <w:tr w:rsidR="00952917" w:rsidRPr="00952917" w14:paraId="7B04923A" w14:textId="77777777" w:rsidTr="00952917">
        <w:trPr>
          <w:trHeight w:val="342"/>
        </w:trPr>
        <w:tc>
          <w:tcPr>
            <w:tcW w:w="1600" w:type="dxa"/>
          </w:tcPr>
          <w:p w14:paraId="39E9A828" w14:textId="77777777" w:rsidR="006A2BCC" w:rsidRPr="00952917" w:rsidRDefault="006A2BCC" w:rsidP="006A2BCC">
            <w:pPr>
              <w:widowControl/>
              <w:autoSpaceDE/>
              <w:autoSpaceDN/>
              <w:adjustRightInd/>
              <w:spacing w:after="160" w:line="259" w:lineRule="auto"/>
              <w:rPr>
                <w:rFonts w:asciiTheme="minorHAnsi" w:eastAsia="Calibri" w:hAnsiTheme="minorHAnsi" w:cs="Latha"/>
                <w:color w:val="auto"/>
                <w:sz w:val="22"/>
                <w:szCs w:val="22"/>
                <w:lang w:val="en-GB"/>
              </w:rPr>
            </w:pPr>
            <w:r w:rsidRPr="00952917">
              <w:rPr>
                <w:rFonts w:asciiTheme="minorHAnsi" w:eastAsia="Calibri" w:hAnsiTheme="minorHAnsi" w:cs="Latha"/>
                <w:color w:val="auto"/>
                <w:sz w:val="22"/>
                <w:szCs w:val="22"/>
                <w:lang w:val="en-GB"/>
              </w:rPr>
              <w:t>Oral instructions</w:t>
            </w:r>
          </w:p>
        </w:tc>
        <w:tc>
          <w:tcPr>
            <w:tcW w:w="1771" w:type="dxa"/>
          </w:tcPr>
          <w:p w14:paraId="53E4E517" w14:textId="77777777" w:rsidR="006A2BCC" w:rsidRPr="00952917" w:rsidRDefault="006A2BCC" w:rsidP="006A2BCC">
            <w:pPr>
              <w:widowControl/>
              <w:autoSpaceDE/>
              <w:autoSpaceDN/>
              <w:adjustRightInd/>
              <w:spacing w:after="160" w:line="259" w:lineRule="auto"/>
              <w:rPr>
                <w:rFonts w:asciiTheme="minorHAnsi" w:eastAsia="Calibri" w:hAnsiTheme="minorHAnsi" w:cs="Latha"/>
                <w:color w:val="auto"/>
                <w:sz w:val="22"/>
                <w:szCs w:val="22"/>
                <w:lang w:val="en-GB"/>
              </w:rPr>
            </w:pPr>
            <w:r w:rsidRPr="00952917">
              <w:rPr>
                <w:rFonts w:asciiTheme="minorHAnsi" w:eastAsia="Calibri" w:hAnsiTheme="minorHAnsi" w:cs="Latha"/>
                <w:color w:val="auto"/>
                <w:sz w:val="22"/>
                <w:szCs w:val="22"/>
                <w:lang w:val="en-GB"/>
              </w:rPr>
              <w:t>2.310±0.6919</w:t>
            </w:r>
          </w:p>
        </w:tc>
        <w:tc>
          <w:tcPr>
            <w:tcW w:w="1768" w:type="dxa"/>
          </w:tcPr>
          <w:p w14:paraId="0F35860A" w14:textId="77777777" w:rsidR="006A2BCC" w:rsidRPr="00952917" w:rsidRDefault="006A2BCC" w:rsidP="006A2BCC">
            <w:pPr>
              <w:widowControl/>
              <w:autoSpaceDE/>
              <w:autoSpaceDN/>
              <w:adjustRightInd/>
              <w:spacing w:after="160" w:line="259" w:lineRule="auto"/>
              <w:rPr>
                <w:rFonts w:asciiTheme="minorHAnsi" w:eastAsia="Calibri" w:hAnsiTheme="minorHAnsi" w:cs="Latha"/>
                <w:color w:val="auto"/>
                <w:sz w:val="22"/>
                <w:szCs w:val="22"/>
                <w:lang w:val="en-GB"/>
              </w:rPr>
            </w:pPr>
            <w:r w:rsidRPr="00952917">
              <w:rPr>
                <w:rFonts w:asciiTheme="minorHAnsi" w:eastAsia="Calibri" w:hAnsiTheme="minorHAnsi" w:cs="Latha"/>
                <w:color w:val="auto"/>
                <w:sz w:val="22"/>
                <w:szCs w:val="22"/>
                <w:lang w:val="en-GB"/>
              </w:rPr>
              <w:t>1.890±0.5915</w:t>
            </w:r>
          </w:p>
        </w:tc>
        <w:tc>
          <w:tcPr>
            <w:tcW w:w="1021" w:type="dxa"/>
          </w:tcPr>
          <w:p w14:paraId="1363E994" w14:textId="77777777" w:rsidR="006A2BCC" w:rsidRPr="00952917" w:rsidRDefault="006A2BCC" w:rsidP="006A2BCC">
            <w:pPr>
              <w:widowControl/>
              <w:autoSpaceDE/>
              <w:autoSpaceDN/>
              <w:adjustRightInd/>
              <w:spacing w:after="160" w:line="259" w:lineRule="auto"/>
              <w:rPr>
                <w:rFonts w:asciiTheme="minorHAnsi" w:eastAsia="Calibri" w:hAnsiTheme="minorHAnsi" w:cs="Latha"/>
                <w:color w:val="auto"/>
                <w:sz w:val="22"/>
                <w:szCs w:val="22"/>
                <w:lang w:val="en-GB"/>
              </w:rPr>
            </w:pPr>
            <w:r w:rsidRPr="00952917">
              <w:rPr>
                <w:rFonts w:asciiTheme="minorHAnsi" w:eastAsia="Calibri" w:hAnsiTheme="minorHAnsi" w:cs="Latha"/>
                <w:color w:val="auto"/>
                <w:sz w:val="22"/>
                <w:szCs w:val="22"/>
                <w:lang w:val="en-GB"/>
              </w:rPr>
              <w:t>0.169</w:t>
            </w:r>
          </w:p>
        </w:tc>
      </w:tr>
      <w:tr w:rsidR="00952917" w:rsidRPr="00952917" w14:paraId="440E9FBB" w14:textId="77777777" w:rsidTr="00952917">
        <w:trPr>
          <w:trHeight w:val="602"/>
        </w:trPr>
        <w:tc>
          <w:tcPr>
            <w:tcW w:w="1600" w:type="dxa"/>
          </w:tcPr>
          <w:p w14:paraId="796AB580" w14:textId="77777777" w:rsidR="006A2BCC" w:rsidRPr="00952917" w:rsidRDefault="006A2BCC" w:rsidP="006A2BCC">
            <w:pPr>
              <w:widowControl/>
              <w:autoSpaceDE/>
              <w:autoSpaceDN/>
              <w:adjustRightInd/>
              <w:spacing w:after="160" w:line="259" w:lineRule="auto"/>
              <w:rPr>
                <w:rFonts w:asciiTheme="minorHAnsi" w:eastAsia="Calibri" w:hAnsiTheme="minorHAnsi" w:cs="Latha"/>
                <w:color w:val="auto"/>
                <w:sz w:val="22"/>
                <w:szCs w:val="22"/>
                <w:lang w:val="en-GB"/>
              </w:rPr>
            </w:pPr>
            <w:r w:rsidRPr="00952917">
              <w:rPr>
                <w:rFonts w:asciiTheme="minorHAnsi" w:eastAsia="Calibri" w:hAnsiTheme="minorHAnsi" w:cs="Latha"/>
                <w:color w:val="auto"/>
                <w:sz w:val="22"/>
                <w:szCs w:val="22"/>
                <w:lang w:val="en-GB"/>
              </w:rPr>
              <w:t>No instructions</w:t>
            </w:r>
          </w:p>
        </w:tc>
        <w:tc>
          <w:tcPr>
            <w:tcW w:w="1771" w:type="dxa"/>
          </w:tcPr>
          <w:p w14:paraId="0DC1E836" w14:textId="77777777" w:rsidR="006A2BCC" w:rsidRPr="00952917" w:rsidRDefault="006A2BCC" w:rsidP="006A2BCC">
            <w:pPr>
              <w:widowControl/>
              <w:autoSpaceDE/>
              <w:autoSpaceDN/>
              <w:adjustRightInd/>
              <w:spacing w:after="160" w:line="259" w:lineRule="auto"/>
              <w:rPr>
                <w:rFonts w:asciiTheme="minorHAnsi" w:eastAsia="Calibri" w:hAnsiTheme="minorHAnsi" w:cs="Latha"/>
                <w:color w:val="auto"/>
                <w:sz w:val="22"/>
                <w:szCs w:val="22"/>
                <w:lang w:val="en-GB"/>
              </w:rPr>
            </w:pPr>
            <w:r w:rsidRPr="00952917">
              <w:rPr>
                <w:rFonts w:asciiTheme="minorHAnsi" w:eastAsia="Calibri" w:hAnsiTheme="minorHAnsi" w:cs="Latha"/>
                <w:color w:val="auto"/>
                <w:sz w:val="22"/>
                <w:szCs w:val="22"/>
                <w:lang w:val="en-GB"/>
              </w:rPr>
              <w:t>3.373±0.8174</w:t>
            </w:r>
          </w:p>
        </w:tc>
        <w:tc>
          <w:tcPr>
            <w:tcW w:w="1768" w:type="dxa"/>
          </w:tcPr>
          <w:p w14:paraId="62F62B11" w14:textId="77777777" w:rsidR="006A2BCC" w:rsidRPr="00952917" w:rsidRDefault="006A2BCC" w:rsidP="006A2BCC">
            <w:pPr>
              <w:widowControl/>
              <w:autoSpaceDE/>
              <w:autoSpaceDN/>
              <w:adjustRightInd/>
              <w:spacing w:after="160" w:line="259" w:lineRule="auto"/>
              <w:rPr>
                <w:rFonts w:asciiTheme="minorHAnsi" w:eastAsia="Calibri" w:hAnsiTheme="minorHAnsi" w:cs="Latha"/>
                <w:color w:val="auto"/>
                <w:sz w:val="22"/>
                <w:szCs w:val="22"/>
                <w:lang w:val="en-GB"/>
              </w:rPr>
            </w:pPr>
            <w:r w:rsidRPr="00952917">
              <w:rPr>
                <w:rFonts w:asciiTheme="minorHAnsi" w:eastAsia="Calibri" w:hAnsiTheme="minorHAnsi" w:cs="Latha"/>
                <w:color w:val="auto"/>
                <w:sz w:val="22"/>
                <w:szCs w:val="22"/>
                <w:lang w:val="en-GB"/>
              </w:rPr>
              <w:t>3.036±0.6185</w:t>
            </w:r>
          </w:p>
        </w:tc>
        <w:tc>
          <w:tcPr>
            <w:tcW w:w="1021" w:type="dxa"/>
          </w:tcPr>
          <w:p w14:paraId="18DF2802" w14:textId="77777777" w:rsidR="006A2BCC" w:rsidRPr="00952917" w:rsidRDefault="006A2BCC" w:rsidP="006A2BCC">
            <w:pPr>
              <w:widowControl/>
              <w:autoSpaceDE/>
              <w:autoSpaceDN/>
              <w:adjustRightInd/>
              <w:spacing w:after="160" w:line="259" w:lineRule="auto"/>
              <w:rPr>
                <w:rFonts w:asciiTheme="minorHAnsi" w:eastAsia="Calibri" w:hAnsiTheme="minorHAnsi" w:cs="Latha"/>
                <w:color w:val="auto"/>
                <w:sz w:val="22"/>
                <w:szCs w:val="22"/>
                <w:lang w:val="en-GB"/>
              </w:rPr>
            </w:pPr>
            <w:r w:rsidRPr="00952917">
              <w:rPr>
                <w:rFonts w:asciiTheme="minorHAnsi" w:eastAsia="Calibri" w:hAnsiTheme="minorHAnsi" w:cs="Latha"/>
                <w:color w:val="auto"/>
                <w:sz w:val="22"/>
                <w:szCs w:val="22"/>
                <w:lang w:val="en-GB"/>
              </w:rPr>
              <w:t>0.084</w:t>
            </w:r>
          </w:p>
        </w:tc>
      </w:tr>
    </w:tbl>
    <w:p w14:paraId="29F9B4D3" w14:textId="77777777" w:rsidR="00471E3C" w:rsidRPr="00952917" w:rsidRDefault="00471E3C" w:rsidP="00C04C28">
      <w:pPr>
        <w:widowControl/>
        <w:autoSpaceDE/>
        <w:autoSpaceDN/>
        <w:adjustRightInd/>
        <w:spacing w:after="160" w:line="259" w:lineRule="auto"/>
        <w:rPr>
          <w:rFonts w:asciiTheme="minorHAnsi" w:eastAsia="Calibri" w:hAnsiTheme="minorHAnsi" w:cs="Latha"/>
          <w:color w:val="auto"/>
          <w:sz w:val="22"/>
          <w:szCs w:val="22"/>
          <w:lang w:val="en-GB"/>
        </w:rPr>
      </w:pPr>
    </w:p>
    <w:p w14:paraId="76E46555" w14:textId="580B328E" w:rsidR="00C04C28" w:rsidRPr="00952917" w:rsidRDefault="00C04C28" w:rsidP="00C04C28">
      <w:pPr>
        <w:widowControl/>
        <w:autoSpaceDE/>
        <w:autoSpaceDN/>
        <w:adjustRightInd/>
        <w:spacing w:after="160" w:line="259" w:lineRule="auto"/>
        <w:rPr>
          <w:rFonts w:asciiTheme="minorHAnsi" w:eastAsia="Calibri" w:hAnsiTheme="minorHAnsi" w:cs="Latha"/>
          <w:color w:val="auto"/>
          <w:sz w:val="22"/>
          <w:szCs w:val="22"/>
          <w:lang w:val="en-GB"/>
        </w:rPr>
      </w:pPr>
    </w:p>
    <w:p w14:paraId="33105B46" w14:textId="77777777" w:rsidR="00C04C28" w:rsidRPr="00952917" w:rsidRDefault="00C04C28" w:rsidP="00C04C28">
      <w:pPr>
        <w:widowControl/>
        <w:autoSpaceDE/>
        <w:autoSpaceDN/>
        <w:adjustRightInd/>
        <w:spacing w:after="160" w:line="259" w:lineRule="auto"/>
        <w:rPr>
          <w:rFonts w:asciiTheme="minorHAnsi" w:eastAsia="Calibri" w:hAnsiTheme="minorHAnsi" w:cs="Latha"/>
          <w:color w:val="auto"/>
          <w:sz w:val="22"/>
          <w:szCs w:val="22"/>
          <w:lang w:val="en-GB"/>
        </w:rPr>
      </w:pPr>
    </w:p>
    <w:p w14:paraId="65EFA684" w14:textId="77777777" w:rsidR="00C04C28" w:rsidRPr="00952917" w:rsidRDefault="00C04C28" w:rsidP="001A00FE">
      <w:pPr>
        <w:rPr>
          <w:rFonts w:asciiTheme="minorHAnsi" w:hAnsiTheme="minorHAnsi" w:cs="Times New Roman"/>
          <w:sz w:val="22"/>
          <w:szCs w:val="22"/>
        </w:rPr>
      </w:pPr>
    </w:p>
    <w:p w14:paraId="545117A8" w14:textId="77777777" w:rsidR="00275551" w:rsidRPr="00952917" w:rsidRDefault="00275551" w:rsidP="001A00FE">
      <w:pPr>
        <w:spacing w:line="400" w:lineRule="atLeast"/>
        <w:rPr>
          <w:rFonts w:asciiTheme="minorHAnsi" w:hAnsiTheme="minorHAnsi" w:cs="Times New Roman"/>
          <w:sz w:val="22"/>
          <w:szCs w:val="22"/>
        </w:rPr>
      </w:pPr>
    </w:p>
    <w:p w14:paraId="56A6C1A9" w14:textId="77777777" w:rsidR="006C08BC" w:rsidRPr="00952917" w:rsidRDefault="006C08BC" w:rsidP="001A00FE">
      <w:pPr>
        <w:spacing w:line="400" w:lineRule="atLeast"/>
        <w:rPr>
          <w:rFonts w:asciiTheme="minorHAnsi" w:hAnsiTheme="minorHAnsi" w:cs="Times New Roman"/>
          <w:sz w:val="22"/>
          <w:szCs w:val="22"/>
          <w:lang w:val="en-GB"/>
        </w:rPr>
      </w:pPr>
    </w:p>
    <w:p w14:paraId="0258FBDA" w14:textId="77777777" w:rsidR="001A00FE" w:rsidRPr="00952917" w:rsidRDefault="001A00FE" w:rsidP="001A00FE">
      <w:pPr>
        <w:rPr>
          <w:rFonts w:asciiTheme="minorHAnsi" w:hAnsiTheme="minorHAnsi" w:cs="Times New Roman"/>
          <w:b/>
          <w:bCs/>
          <w:sz w:val="22"/>
          <w:szCs w:val="22"/>
        </w:rPr>
      </w:pPr>
    </w:p>
    <w:p w14:paraId="4FAA87EE" w14:textId="77777777" w:rsidR="00240058" w:rsidRPr="00952917" w:rsidRDefault="00240058" w:rsidP="001A00FE">
      <w:pPr>
        <w:rPr>
          <w:rFonts w:asciiTheme="minorHAnsi" w:hAnsiTheme="minorHAnsi" w:cs="Times New Roman"/>
          <w:b/>
          <w:bCs/>
          <w:sz w:val="22"/>
          <w:szCs w:val="22"/>
        </w:rPr>
      </w:pPr>
    </w:p>
    <w:p w14:paraId="786916AE" w14:textId="77777777" w:rsidR="00240058" w:rsidRPr="00952917" w:rsidRDefault="00240058" w:rsidP="00240058">
      <w:pPr>
        <w:rPr>
          <w:rFonts w:asciiTheme="minorHAnsi" w:hAnsiTheme="minorHAnsi" w:cs="Times New Roman"/>
          <w:sz w:val="22"/>
          <w:szCs w:val="22"/>
        </w:rPr>
      </w:pPr>
      <w:r w:rsidRPr="00952917">
        <w:rPr>
          <w:rFonts w:asciiTheme="minorHAnsi" w:hAnsiTheme="minorHAnsi" w:cs="Times New Roman"/>
          <w:sz w:val="22"/>
          <w:szCs w:val="22"/>
        </w:rPr>
        <w:t>Paired ‘T’ test, ‘t’=8.181, df=9, P=0.000</w:t>
      </w:r>
    </w:p>
    <w:p w14:paraId="5D017612" w14:textId="77777777" w:rsidR="00240058" w:rsidRPr="006C08BC" w:rsidRDefault="00240058" w:rsidP="001A00FE">
      <w:pPr>
        <w:rPr>
          <w:rFonts w:asciiTheme="minorHAnsi" w:hAnsiTheme="minorHAnsi" w:cs="Times New Roman"/>
          <w:b/>
          <w:bCs/>
          <w:sz w:val="20"/>
          <w:szCs w:val="20"/>
        </w:rPr>
      </w:pPr>
    </w:p>
    <w:p w14:paraId="41F28EA7" w14:textId="77777777" w:rsidR="00275551" w:rsidRDefault="00275551" w:rsidP="009B544C">
      <w:pPr>
        <w:spacing w:line="400" w:lineRule="atLeast"/>
        <w:rPr>
          <w:rFonts w:asciiTheme="minorHAnsi" w:hAnsiTheme="minorHAnsi" w:cs="Times New Roman"/>
          <w:sz w:val="28"/>
          <w:szCs w:val="28"/>
        </w:rPr>
      </w:pPr>
    </w:p>
    <w:p w14:paraId="69C4D130" w14:textId="77777777" w:rsidR="00B053EE" w:rsidRDefault="00B053EE" w:rsidP="009B544C">
      <w:pPr>
        <w:spacing w:line="400" w:lineRule="atLeast"/>
        <w:rPr>
          <w:rFonts w:asciiTheme="minorHAnsi" w:hAnsiTheme="minorHAnsi" w:cs="Times New Roman"/>
          <w:sz w:val="28"/>
          <w:szCs w:val="28"/>
          <w:lang w:val="en-GB"/>
        </w:rPr>
      </w:pPr>
    </w:p>
    <w:p w14:paraId="154959A4" w14:textId="4F83C76E" w:rsidR="009B544C" w:rsidRPr="00275551" w:rsidRDefault="009B544C" w:rsidP="009B544C">
      <w:pPr>
        <w:spacing w:line="400" w:lineRule="atLeast"/>
        <w:rPr>
          <w:rFonts w:asciiTheme="minorHAnsi" w:hAnsiTheme="minorHAnsi" w:cs="Times New Roman"/>
          <w:sz w:val="28"/>
          <w:szCs w:val="28"/>
        </w:rPr>
      </w:pPr>
      <w:r w:rsidRPr="00275551">
        <w:rPr>
          <w:rFonts w:asciiTheme="minorHAnsi" w:hAnsiTheme="minorHAnsi" w:cs="Times New Roman"/>
          <w:sz w:val="28"/>
          <w:szCs w:val="28"/>
        </w:rPr>
        <w:t>Comparison of PHP for three groups</w:t>
      </w:r>
      <w:r w:rsidR="00066FD5">
        <w:rPr>
          <w:rFonts w:asciiTheme="minorHAnsi" w:hAnsiTheme="minorHAnsi" w:cs="Times New Roman"/>
          <w:sz w:val="28"/>
          <w:szCs w:val="28"/>
        </w:rPr>
        <w:t>:</w:t>
      </w:r>
    </w:p>
    <w:tbl>
      <w:tblPr>
        <w:tblStyle w:val="TableGrid"/>
        <w:tblpPr w:leftFromText="180" w:rightFromText="180" w:vertAnchor="page" w:horzAnchor="margin" w:tblpY="12136"/>
        <w:tblOverlap w:val="never"/>
        <w:tblW w:w="0" w:type="auto"/>
        <w:tblLook w:val="04A0" w:firstRow="1" w:lastRow="0" w:firstColumn="1" w:lastColumn="0" w:noHBand="0" w:noVBand="1"/>
      </w:tblPr>
      <w:tblGrid>
        <w:gridCol w:w="1578"/>
        <w:gridCol w:w="1786"/>
        <w:gridCol w:w="1786"/>
        <w:gridCol w:w="921"/>
      </w:tblGrid>
      <w:tr w:rsidR="006A2BCC" w:rsidRPr="00952917" w14:paraId="014017F8" w14:textId="77777777" w:rsidTr="00952917">
        <w:trPr>
          <w:trHeight w:val="698"/>
        </w:trPr>
        <w:tc>
          <w:tcPr>
            <w:tcW w:w="1578" w:type="dxa"/>
          </w:tcPr>
          <w:p w14:paraId="203A1730" w14:textId="77777777" w:rsidR="006A2BCC" w:rsidRPr="006A2BCC" w:rsidRDefault="006A2BCC" w:rsidP="006A2BCC">
            <w:pPr>
              <w:widowControl/>
              <w:autoSpaceDE/>
              <w:autoSpaceDN/>
              <w:adjustRightInd/>
              <w:rPr>
                <w:rFonts w:ascii="Calibri" w:eastAsia="Calibri" w:hAnsi="Calibri" w:cs="Latha"/>
                <w:color w:val="auto"/>
                <w:sz w:val="22"/>
                <w:szCs w:val="22"/>
                <w:lang w:val="en-GB"/>
              </w:rPr>
            </w:pPr>
          </w:p>
        </w:tc>
        <w:tc>
          <w:tcPr>
            <w:tcW w:w="1786" w:type="dxa"/>
          </w:tcPr>
          <w:p w14:paraId="6F985C62" w14:textId="77777777" w:rsidR="006A2BCC" w:rsidRPr="006A2BCC" w:rsidRDefault="006A2BCC" w:rsidP="006A2BCC">
            <w:pPr>
              <w:widowControl/>
              <w:autoSpaceDE/>
              <w:autoSpaceDN/>
              <w:adjustRightInd/>
              <w:rPr>
                <w:rFonts w:ascii="Calibri" w:eastAsia="Calibri" w:hAnsi="Calibri" w:cs="Latha"/>
                <w:color w:val="auto"/>
                <w:sz w:val="22"/>
                <w:szCs w:val="22"/>
                <w:lang w:val="en-GB"/>
              </w:rPr>
            </w:pPr>
            <w:r w:rsidRPr="006A2BCC">
              <w:rPr>
                <w:rFonts w:ascii="Calibri" w:eastAsia="Calibri" w:hAnsi="Calibri" w:cs="Latha"/>
                <w:color w:val="auto"/>
                <w:sz w:val="22"/>
                <w:szCs w:val="22"/>
                <w:lang w:val="en-GB"/>
              </w:rPr>
              <w:t>Before instructions</w:t>
            </w:r>
          </w:p>
        </w:tc>
        <w:tc>
          <w:tcPr>
            <w:tcW w:w="1786" w:type="dxa"/>
          </w:tcPr>
          <w:p w14:paraId="431D1489" w14:textId="77777777" w:rsidR="006A2BCC" w:rsidRPr="006A2BCC" w:rsidRDefault="006A2BCC" w:rsidP="006A2BCC">
            <w:pPr>
              <w:widowControl/>
              <w:autoSpaceDE/>
              <w:autoSpaceDN/>
              <w:adjustRightInd/>
              <w:rPr>
                <w:rFonts w:ascii="Calibri" w:eastAsia="Calibri" w:hAnsi="Calibri" w:cs="Latha"/>
                <w:color w:val="auto"/>
                <w:sz w:val="22"/>
                <w:szCs w:val="22"/>
                <w:lang w:val="en-GB"/>
              </w:rPr>
            </w:pPr>
            <w:r w:rsidRPr="006A2BCC">
              <w:rPr>
                <w:rFonts w:ascii="Calibri" w:eastAsia="Calibri" w:hAnsi="Calibri" w:cs="Latha"/>
                <w:color w:val="auto"/>
                <w:sz w:val="22"/>
                <w:szCs w:val="22"/>
                <w:lang w:val="en-GB"/>
              </w:rPr>
              <w:t>After instructions</w:t>
            </w:r>
          </w:p>
        </w:tc>
        <w:tc>
          <w:tcPr>
            <w:tcW w:w="921" w:type="dxa"/>
          </w:tcPr>
          <w:p w14:paraId="4DA9AC34" w14:textId="77777777" w:rsidR="006A2BCC" w:rsidRPr="006A2BCC" w:rsidRDefault="006A2BCC" w:rsidP="006A2BCC">
            <w:pPr>
              <w:widowControl/>
              <w:autoSpaceDE/>
              <w:autoSpaceDN/>
              <w:adjustRightInd/>
              <w:rPr>
                <w:rFonts w:ascii="Calibri" w:eastAsia="Calibri" w:hAnsi="Calibri" w:cs="Latha"/>
                <w:color w:val="auto"/>
                <w:sz w:val="22"/>
                <w:szCs w:val="22"/>
                <w:lang w:val="en-GB"/>
              </w:rPr>
            </w:pPr>
            <w:r w:rsidRPr="006A2BCC">
              <w:rPr>
                <w:rFonts w:ascii="Calibri" w:eastAsia="Calibri" w:hAnsi="Calibri" w:cs="Latha"/>
                <w:color w:val="auto"/>
                <w:sz w:val="22"/>
                <w:szCs w:val="22"/>
                <w:lang w:val="en-GB"/>
              </w:rPr>
              <w:t>P value</w:t>
            </w:r>
          </w:p>
        </w:tc>
      </w:tr>
      <w:tr w:rsidR="006A2BCC" w:rsidRPr="00952917" w14:paraId="605AF039" w14:textId="77777777" w:rsidTr="00952917">
        <w:trPr>
          <w:trHeight w:val="630"/>
        </w:trPr>
        <w:tc>
          <w:tcPr>
            <w:tcW w:w="1578" w:type="dxa"/>
          </w:tcPr>
          <w:p w14:paraId="12E426BD" w14:textId="77777777" w:rsidR="006A2BCC" w:rsidRPr="006A2BCC" w:rsidRDefault="006A2BCC" w:rsidP="006A2BCC">
            <w:pPr>
              <w:widowControl/>
              <w:autoSpaceDE/>
              <w:autoSpaceDN/>
              <w:adjustRightInd/>
              <w:rPr>
                <w:rFonts w:ascii="Calibri" w:eastAsia="Calibri" w:hAnsi="Calibri" w:cs="Latha"/>
                <w:color w:val="auto"/>
                <w:sz w:val="22"/>
                <w:szCs w:val="22"/>
                <w:lang w:val="en-GB"/>
              </w:rPr>
            </w:pPr>
            <w:r w:rsidRPr="006A2BCC">
              <w:rPr>
                <w:rFonts w:ascii="Calibri" w:eastAsia="Calibri" w:hAnsi="Calibri" w:cs="Latha"/>
                <w:color w:val="auto"/>
                <w:sz w:val="22"/>
                <w:szCs w:val="22"/>
                <w:lang w:val="en-GB"/>
              </w:rPr>
              <w:t>Instructions through videos</w:t>
            </w:r>
          </w:p>
        </w:tc>
        <w:tc>
          <w:tcPr>
            <w:tcW w:w="1786" w:type="dxa"/>
          </w:tcPr>
          <w:p w14:paraId="55AEE97E" w14:textId="77777777" w:rsidR="006A2BCC" w:rsidRPr="006A2BCC" w:rsidRDefault="006A2BCC" w:rsidP="006A2BCC">
            <w:pPr>
              <w:widowControl/>
              <w:autoSpaceDE/>
              <w:autoSpaceDN/>
              <w:adjustRightInd/>
              <w:rPr>
                <w:rFonts w:ascii="Calibri" w:eastAsia="Calibri" w:hAnsi="Calibri" w:cs="Latha"/>
                <w:color w:val="auto"/>
                <w:sz w:val="22"/>
                <w:szCs w:val="22"/>
                <w:lang w:val="en-GB"/>
              </w:rPr>
            </w:pPr>
            <w:r w:rsidRPr="006A2BCC">
              <w:rPr>
                <w:rFonts w:ascii="Calibri" w:eastAsia="Calibri" w:hAnsi="Calibri" w:cs="Latha"/>
                <w:color w:val="auto"/>
                <w:sz w:val="22"/>
                <w:szCs w:val="22"/>
                <w:lang w:val="en-GB"/>
              </w:rPr>
              <w:t>0.280±0.1033</w:t>
            </w:r>
          </w:p>
        </w:tc>
        <w:tc>
          <w:tcPr>
            <w:tcW w:w="1786" w:type="dxa"/>
          </w:tcPr>
          <w:p w14:paraId="32405B08" w14:textId="77777777" w:rsidR="006A2BCC" w:rsidRPr="006A2BCC" w:rsidRDefault="006A2BCC" w:rsidP="006A2BCC">
            <w:pPr>
              <w:widowControl/>
              <w:autoSpaceDE/>
              <w:autoSpaceDN/>
              <w:adjustRightInd/>
              <w:rPr>
                <w:rFonts w:ascii="Calibri" w:eastAsia="Calibri" w:hAnsi="Calibri" w:cs="Latha"/>
                <w:color w:val="auto"/>
                <w:sz w:val="22"/>
                <w:szCs w:val="22"/>
                <w:lang w:val="en-GB"/>
              </w:rPr>
            </w:pPr>
            <w:r w:rsidRPr="006A2BCC">
              <w:rPr>
                <w:rFonts w:ascii="Calibri" w:eastAsia="Calibri" w:hAnsi="Calibri" w:cs="Latha"/>
                <w:color w:val="auto"/>
                <w:sz w:val="22"/>
                <w:szCs w:val="22"/>
                <w:lang w:val="en-GB"/>
              </w:rPr>
              <w:t>0.170±0.0483</w:t>
            </w:r>
          </w:p>
        </w:tc>
        <w:tc>
          <w:tcPr>
            <w:tcW w:w="921" w:type="dxa"/>
          </w:tcPr>
          <w:p w14:paraId="69F11261" w14:textId="77777777" w:rsidR="006A2BCC" w:rsidRPr="006A2BCC" w:rsidRDefault="006A2BCC" w:rsidP="006A2BCC">
            <w:pPr>
              <w:widowControl/>
              <w:autoSpaceDE/>
              <w:autoSpaceDN/>
              <w:adjustRightInd/>
              <w:rPr>
                <w:rFonts w:ascii="Calibri" w:eastAsia="Calibri" w:hAnsi="Calibri" w:cs="Latha"/>
                <w:color w:val="auto"/>
                <w:sz w:val="22"/>
                <w:szCs w:val="22"/>
                <w:lang w:val="en-GB"/>
              </w:rPr>
            </w:pPr>
            <w:r w:rsidRPr="006A2BCC">
              <w:rPr>
                <w:rFonts w:ascii="Calibri" w:eastAsia="Calibri" w:hAnsi="Calibri" w:cs="Latha"/>
                <w:color w:val="auto"/>
                <w:sz w:val="22"/>
                <w:szCs w:val="22"/>
                <w:lang w:val="en-GB"/>
              </w:rPr>
              <w:t>0.001*</w:t>
            </w:r>
          </w:p>
        </w:tc>
      </w:tr>
      <w:tr w:rsidR="006A2BCC" w:rsidRPr="00952917" w14:paraId="7008DA54" w14:textId="77777777" w:rsidTr="00952917">
        <w:trPr>
          <w:trHeight w:val="698"/>
        </w:trPr>
        <w:tc>
          <w:tcPr>
            <w:tcW w:w="1578" w:type="dxa"/>
          </w:tcPr>
          <w:p w14:paraId="1BBEA482" w14:textId="77777777" w:rsidR="006A2BCC" w:rsidRPr="006A2BCC" w:rsidRDefault="006A2BCC" w:rsidP="006A2BCC">
            <w:pPr>
              <w:widowControl/>
              <w:autoSpaceDE/>
              <w:autoSpaceDN/>
              <w:adjustRightInd/>
              <w:rPr>
                <w:rFonts w:ascii="Calibri" w:eastAsia="Calibri" w:hAnsi="Calibri" w:cs="Latha"/>
                <w:color w:val="auto"/>
                <w:sz w:val="22"/>
                <w:szCs w:val="22"/>
                <w:lang w:val="en-GB"/>
              </w:rPr>
            </w:pPr>
            <w:r w:rsidRPr="006A2BCC">
              <w:rPr>
                <w:rFonts w:ascii="Calibri" w:eastAsia="Calibri" w:hAnsi="Calibri" w:cs="Latha"/>
                <w:color w:val="auto"/>
                <w:sz w:val="22"/>
                <w:szCs w:val="22"/>
                <w:lang w:val="en-GB"/>
              </w:rPr>
              <w:t>Oral instructions</w:t>
            </w:r>
          </w:p>
        </w:tc>
        <w:tc>
          <w:tcPr>
            <w:tcW w:w="1786" w:type="dxa"/>
          </w:tcPr>
          <w:p w14:paraId="7BB9D4FB" w14:textId="77777777" w:rsidR="006A2BCC" w:rsidRPr="006A2BCC" w:rsidRDefault="006A2BCC" w:rsidP="006A2BCC">
            <w:pPr>
              <w:widowControl/>
              <w:autoSpaceDE/>
              <w:autoSpaceDN/>
              <w:adjustRightInd/>
              <w:rPr>
                <w:rFonts w:ascii="Calibri" w:eastAsia="Calibri" w:hAnsi="Calibri" w:cs="Latha"/>
                <w:color w:val="auto"/>
                <w:sz w:val="22"/>
                <w:szCs w:val="22"/>
                <w:lang w:val="en-GB"/>
              </w:rPr>
            </w:pPr>
            <w:r w:rsidRPr="006A2BCC">
              <w:rPr>
                <w:rFonts w:ascii="Calibri" w:eastAsia="Calibri" w:hAnsi="Calibri" w:cs="Latha"/>
                <w:color w:val="auto"/>
                <w:sz w:val="22"/>
                <w:szCs w:val="22"/>
                <w:lang w:val="en-GB"/>
              </w:rPr>
              <w:t>0.340±0.0699</w:t>
            </w:r>
          </w:p>
        </w:tc>
        <w:tc>
          <w:tcPr>
            <w:tcW w:w="1786" w:type="dxa"/>
          </w:tcPr>
          <w:p w14:paraId="232CA582" w14:textId="77777777" w:rsidR="006A2BCC" w:rsidRPr="006A2BCC" w:rsidRDefault="006A2BCC" w:rsidP="006A2BCC">
            <w:pPr>
              <w:widowControl/>
              <w:autoSpaceDE/>
              <w:autoSpaceDN/>
              <w:adjustRightInd/>
              <w:rPr>
                <w:rFonts w:ascii="Calibri" w:eastAsia="Calibri" w:hAnsi="Calibri" w:cs="Latha"/>
                <w:color w:val="auto"/>
                <w:sz w:val="22"/>
                <w:szCs w:val="22"/>
                <w:lang w:val="en-GB"/>
              </w:rPr>
            </w:pPr>
            <w:r w:rsidRPr="006A2BCC">
              <w:rPr>
                <w:rFonts w:ascii="Calibri" w:eastAsia="Calibri" w:hAnsi="Calibri" w:cs="Latha"/>
                <w:color w:val="auto"/>
                <w:sz w:val="22"/>
                <w:szCs w:val="22"/>
                <w:lang w:val="en-GB"/>
              </w:rPr>
              <w:t>0.210±0.0738</w:t>
            </w:r>
          </w:p>
        </w:tc>
        <w:tc>
          <w:tcPr>
            <w:tcW w:w="921" w:type="dxa"/>
          </w:tcPr>
          <w:p w14:paraId="02D63DAD" w14:textId="77777777" w:rsidR="006A2BCC" w:rsidRPr="006A2BCC" w:rsidRDefault="006A2BCC" w:rsidP="006A2BCC">
            <w:pPr>
              <w:widowControl/>
              <w:autoSpaceDE/>
              <w:autoSpaceDN/>
              <w:adjustRightInd/>
              <w:rPr>
                <w:rFonts w:ascii="Calibri" w:eastAsia="Calibri" w:hAnsi="Calibri" w:cs="Latha"/>
                <w:color w:val="auto"/>
                <w:sz w:val="22"/>
                <w:szCs w:val="22"/>
                <w:lang w:val="en-GB"/>
              </w:rPr>
            </w:pPr>
            <w:r w:rsidRPr="006A2BCC">
              <w:rPr>
                <w:rFonts w:ascii="Calibri" w:eastAsia="Calibri" w:hAnsi="Calibri" w:cs="Latha"/>
                <w:color w:val="auto"/>
                <w:sz w:val="22"/>
                <w:szCs w:val="22"/>
                <w:lang w:val="en-GB"/>
              </w:rPr>
              <w:t>0.001</w:t>
            </w:r>
          </w:p>
        </w:tc>
      </w:tr>
      <w:tr w:rsidR="006A2BCC" w:rsidRPr="00952917" w14:paraId="19F2CCDC" w14:textId="77777777" w:rsidTr="00952917">
        <w:trPr>
          <w:trHeight w:val="543"/>
        </w:trPr>
        <w:tc>
          <w:tcPr>
            <w:tcW w:w="1578" w:type="dxa"/>
          </w:tcPr>
          <w:p w14:paraId="1EACC979" w14:textId="77777777" w:rsidR="006A2BCC" w:rsidRPr="006A2BCC" w:rsidRDefault="006A2BCC" w:rsidP="006A2BCC">
            <w:pPr>
              <w:widowControl/>
              <w:autoSpaceDE/>
              <w:autoSpaceDN/>
              <w:adjustRightInd/>
              <w:rPr>
                <w:rFonts w:ascii="Calibri" w:eastAsia="Calibri" w:hAnsi="Calibri" w:cs="Latha"/>
                <w:color w:val="auto"/>
                <w:sz w:val="22"/>
                <w:szCs w:val="22"/>
                <w:lang w:val="en-GB"/>
              </w:rPr>
            </w:pPr>
            <w:r w:rsidRPr="006A2BCC">
              <w:rPr>
                <w:rFonts w:ascii="Calibri" w:eastAsia="Calibri" w:hAnsi="Calibri" w:cs="Latha"/>
                <w:color w:val="auto"/>
                <w:sz w:val="22"/>
                <w:szCs w:val="22"/>
                <w:lang w:val="en-GB"/>
              </w:rPr>
              <w:t>No instructions</w:t>
            </w:r>
          </w:p>
        </w:tc>
        <w:tc>
          <w:tcPr>
            <w:tcW w:w="1786" w:type="dxa"/>
          </w:tcPr>
          <w:p w14:paraId="65B9E239" w14:textId="77777777" w:rsidR="006A2BCC" w:rsidRPr="006A2BCC" w:rsidRDefault="006A2BCC" w:rsidP="006A2BCC">
            <w:pPr>
              <w:widowControl/>
              <w:autoSpaceDE/>
              <w:autoSpaceDN/>
              <w:adjustRightInd/>
              <w:rPr>
                <w:rFonts w:ascii="Calibri" w:eastAsia="Calibri" w:hAnsi="Calibri" w:cs="Latha"/>
                <w:color w:val="auto"/>
                <w:sz w:val="22"/>
                <w:szCs w:val="22"/>
                <w:lang w:val="en-GB"/>
              </w:rPr>
            </w:pPr>
            <w:r w:rsidRPr="006A2BCC">
              <w:rPr>
                <w:rFonts w:ascii="Calibri" w:eastAsia="Calibri" w:hAnsi="Calibri" w:cs="Latha"/>
                <w:color w:val="auto"/>
                <w:sz w:val="22"/>
                <w:szCs w:val="22"/>
                <w:lang w:val="en-GB"/>
              </w:rPr>
              <w:t>0.355±0.0934</w:t>
            </w:r>
          </w:p>
        </w:tc>
        <w:tc>
          <w:tcPr>
            <w:tcW w:w="1786" w:type="dxa"/>
          </w:tcPr>
          <w:p w14:paraId="2728988C" w14:textId="77777777" w:rsidR="006A2BCC" w:rsidRPr="006A2BCC" w:rsidRDefault="006A2BCC" w:rsidP="006A2BCC">
            <w:pPr>
              <w:widowControl/>
              <w:autoSpaceDE/>
              <w:autoSpaceDN/>
              <w:adjustRightInd/>
              <w:rPr>
                <w:rFonts w:ascii="Calibri" w:eastAsia="Calibri" w:hAnsi="Calibri" w:cs="Latha"/>
                <w:color w:val="auto"/>
                <w:sz w:val="22"/>
                <w:szCs w:val="22"/>
                <w:lang w:val="en-GB"/>
              </w:rPr>
            </w:pPr>
            <w:r w:rsidRPr="006A2BCC">
              <w:rPr>
                <w:rFonts w:ascii="Calibri" w:eastAsia="Calibri" w:hAnsi="Calibri" w:cs="Latha"/>
                <w:color w:val="auto"/>
                <w:sz w:val="22"/>
                <w:szCs w:val="22"/>
                <w:lang w:val="en-GB"/>
              </w:rPr>
              <w:t>0.309±0.0701</w:t>
            </w:r>
          </w:p>
        </w:tc>
        <w:tc>
          <w:tcPr>
            <w:tcW w:w="921" w:type="dxa"/>
          </w:tcPr>
          <w:p w14:paraId="5B7105A7" w14:textId="77777777" w:rsidR="006A2BCC" w:rsidRPr="006A2BCC" w:rsidRDefault="006A2BCC" w:rsidP="006A2BCC">
            <w:pPr>
              <w:widowControl/>
              <w:autoSpaceDE/>
              <w:autoSpaceDN/>
              <w:adjustRightInd/>
              <w:rPr>
                <w:rFonts w:ascii="Calibri" w:eastAsia="Calibri" w:hAnsi="Calibri" w:cs="Latha"/>
                <w:color w:val="auto"/>
                <w:sz w:val="22"/>
                <w:szCs w:val="22"/>
                <w:lang w:val="en-GB"/>
              </w:rPr>
            </w:pPr>
            <w:r w:rsidRPr="006A2BCC">
              <w:rPr>
                <w:rFonts w:ascii="Calibri" w:eastAsia="Calibri" w:hAnsi="Calibri" w:cs="Latha"/>
                <w:color w:val="auto"/>
                <w:sz w:val="22"/>
                <w:szCs w:val="22"/>
                <w:lang w:val="en-GB"/>
              </w:rPr>
              <w:t>0.016</w:t>
            </w:r>
          </w:p>
        </w:tc>
      </w:tr>
    </w:tbl>
    <w:p w14:paraId="4DA63D38" w14:textId="77777777" w:rsidR="00657E47" w:rsidRPr="00952917" w:rsidRDefault="00657E47" w:rsidP="001A00FE">
      <w:pPr>
        <w:spacing w:line="400" w:lineRule="atLeast"/>
        <w:rPr>
          <w:rFonts w:asciiTheme="minorHAnsi" w:hAnsiTheme="minorHAnsi" w:cs="Times New Roman"/>
          <w:b/>
          <w:bCs/>
          <w:sz w:val="22"/>
          <w:szCs w:val="22"/>
        </w:rPr>
      </w:pPr>
    </w:p>
    <w:p w14:paraId="7D876E4C" w14:textId="77777777" w:rsidR="00657E47" w:rsidRPr="00952917" w:rsidRDefault="00657E47" w:rsidP="001A00FE">
      <w:pPr>
        <w:spacing w:line="400" w:lineRule="atLeast"/>
        <w:rPr>
          <w:rFonts w:asciiTheme="minorHAnsi" w:hAnsiTheme="minorHAnsi" w:cs="Times New Roman"/>
          <w:b/>
          <w:bCs/>
          <w:sz w:val="22"/>
          <w:szCs w:val="22"/>
        </w:rPr>
      </w:pPr>
    </w:p>
    <w:p w14:paraId="4F9F5B76" w14:textId="716F58CC" w:rsidR="00657E47" w:rsidRPr="00952917" w:rsidRDefault="00657E47" w:rsidP="001A00FE">
      <w:pPr>
        <w:spacing w:line="400" w:lineRule="atLeast"/>
        <w:rPr>
          <w:rFonts w:asciiTheme="minorHAnsi" w:hAnsiTheme="minorHAnsi" w:cs="Times New Roman"/>
          <w:sz w:val="22"/>
          <w:szCs w:val="22"/>
        </w:rPr>
      </w:pPr>
    </w:p>
    <w:p w14:paraId="2F848F77" w14:textId="77777777" w:rsidR="00657E47" w:rsidRPr="00952917" w:rsidRDefault="00657E47" w:rsidP="001A00FE">
      <w:pPr>
        <w:spacing w:line="400" w:lineRule="atLeast"/>
        <w:rPr>
          <w:rFonts w:asciiTheme="minorHAnsi" w:hAnsiTheme="minorHAnsi" w:cs="Times New Roman"/>
          <w:b/>
          <w:bCs/>
          <w:sz w:val="22"/>
          <w:szCs w:val="22"/>
        </w:rPr>
      </w:pPr>
    </w:p>
    <w:p w14:paraId="0B809AA8" w14:textId="77777777" w:rsidR="00657E47" w:rsidRPr="00952917" w:rsidRDefault="00657E47" w:rsidP="001A00FE">
      <w:pPr>
        <w:spacing w:line="400" w:lineRule="atLeast"/>
        <w:rPr>
          <w:rFonts w:asciiTheme="minorHAnsi" w:hAnsiTheme="minorHAnsi" w:cs="Times New Roman"/>
          <w:b/>
          <w:bCs/>
          <w:sz w:val="22"/>
          <w:szCs w:val="22"/>
        </w:rPr>
      </w:pPr>
    </w:p>
    <w:p w14:paraId="3A15FE4F" w14:textId="77777777" w:rsidR="006A2BCC" w:rsidRPr="00952917" w:rsidRDefault="006A2BCC" w:rsidP="001A00FE">
      <w:pPr>
        <w:spacing w:line="400" w:lineRule="atLeast"/>
        <w:rPr>
          <w:rFonts w:asciiTheme="minorHAnsi" w:hAnsiTheme="minorHAnsi" w:cs="Times New Roman"/>
          <w:b/>
          <w:bCs/>
          <w:sz w:val="22"/>
          <w:szCs w:val="22"/>
        </w:rPr>
      </w:pPr>
    </w:p>
    <w:p w14:paraId="21FDEE69" w14:textId="77777777" w:rsidR="00952917" w:rsidRDefault="00952917" w:rsidP="001A00FE">
      <w:pPr>
        <w:spacing w:line="400" w:lineRule="atLeast"/>
        <w:rPr>
          <w:rFonts w:asciiTheme="minorHAnsi" w:hAnsiTheme="minorHAnsi" w:cs="Times New Roman"/>
          <w:sz w:val="22"/>
          <w:szCs w:val="22"/>
        </w:rPr>
      </w:pPr>
      <w:bookmarkStart w:id="0" w:name="_GoBack"/>
      <w:bookmarkEnd w:id="0"/>
    </w:p>
    <w:p w14:paraId="309A93F0" w14:textId="3928FBEC" w:rsidR="00657E47" w:rsidRPr="00952917" w:rsidRDefault="00275551" w:rsidP="001A00FE">
      <w:pPr>
        <w:spacing w:line="400" w:lineRule="atLeast"/>
        <w:rPr>
          <w:rFonts w:asciiTheme="minorHAnsi" w:hAnsiTheme="minorHAnsi" w:cs="Times New Roman"/>
          <w:sz w:val="22"/>
          <w:szCs w:val="22"/>
        </w:rPr>
      </w:pPr>
      <w:r w:rsidRPr="00952917">
        <w:rPr>
          <w:rFonts w:asciiTheme="minorHAnsi" w:hAnsiTheme="minorHAnsi" w:cs="Times New Roman"/>
          <w:sz w:val="22"/>
          <w:szCs w:val="22"/>
        </w:rPr>
        <w:t>Paired ‘T’ test, ‘t’=4.714, df=9, P=0.001</w:t>
      </w:r>
    </w:p>
    <w:p w14:paraId="352A37CD" w14:textId="77777777" w:rsidR="00657E47" w:rsidRPr="00275551" w:rsidRDefault="00657E47" w:rsidP="001A00FE">
      <w:pPr>
        <w:spacing w:line="400" w:lineRule="atLeast"/>
        <w:rPr>
          <w:rFonts w:asciiTheme="minorHAnsi" w:hAnsiTheme="minorHAnsi" w:cs="Times New Roman"/>
          <w:sz w:val="28"/>
          <w:szCs w:val="28"/>
        </w:rPr>
      </w:pPr>
    </w:p>
    <w:p w14:paraId="2FAB969B" w14:textId="77777777" w:rsidR="00657E47" w:rsidRPr="00275551" w:rsidRDefault="00657E47" w:rsidP="001A00FE">
      <w:pPr>
        <w:spacing w:line="400" w:lineRule="atLeast"/>
        <w:rPr>
          <w:rFonts w:asciiTheme="minorHAnsi" w:hAnsiTheme="minorHAnsi" w:cs="Times New Roman"/>
          <w:b/>
          <w:bCs/>
          <w:sz w:val="24"/>
          <w:szCs w:val="24"/>
        </w:rPr>
      </w:pPr>
    </w:p>
    <w:p w14:paraId="64BD77B2" w14:textId="77777777" w:rsidR="00657E47" w:rsidRPr="00275551" w:rsidRDefault="00657E47" w:rsidP="001A00FE">
      <w:pPr>
        <w:spacing w:line="400" w:lineRule="atLeast"/>
        <w:rPr>
          <w:rFonts w:asciiTheme="minorHAnsi" w:hAnsiTheme="minorHAnsi" w:cs="Times New Roman"/>
          <w:b/>
          <w:bCs/>
          <w:sz w:val="24"/>
          <w:szCs w:val="24"/>
        </w:rPr>
      </w:pPr>
    </w:p>
    <w:p w14:paraId="53A5DB21" w14:textId="77777777" w:rsidR="00657E47" w:rsidRPr="00275551" w:rsidRDefault="00657E47" w:rsidP="001A00FE">
      <w:pPr>
        <w:spacing w:line="400" w:lineRule="atLeast"/>
        <w:rPr>
          <w:rFonts w:asciiTheme="minorHAnsi" w:hAnsiTheme="minorHAnsi" w:cs="Times New Roman"/>
          <w:b/>
          <w:bCs/>
          <w:sz w:val="24"/>
          <w:szCs w:val="24"/>
        </w:rPr>
      </w:pPr>
    </w:p>
    <w:p w14:paraId="7A4B1A26" w14:textId="58CB6A21" w:rsidR="00837EF0" w:rsidRPr="00275551" w:rsidRDefault="00837EF0" w:rsidP="00275551">
      <w:pPr>
        <w:widowControl/>
        <w:tabs>
          <w:tab w:val="left" w:pos="1480"/>
        </w:tabs>
        <w:rPr>
          <w:rFonts w:asciiTheme="minorHAnsi" w:eastAsiaTheme="minorHAnsi" w:hAnsiTheme="minorHAnsi" w:cs="Times New Roman"/>
          <w:sz w:val="32"/>
          <w:szCs w:val="32"/>
        </w:rPr>
      </w:pPr>
      <w:r w:rsidRPr="00275551">
        <w:rPr>
          <w:rFonts w:asciiTheme="minorHAnsi" w:hAnsiTheme="minorHAnsi" w:cs="Times New Roman"/>
          <w:color w:val="auto"/>
          <w:sz w:val="32"/>
          <w:szCs w:val="32"/>
        </w:rPr>
        <w:t>DISCUSSION</w:t>
      </w:r>
    </w:p>
    <w:p w14:paraId="2E3725E2" w14:textId="251CD019" w:rsidR="00837EF0" w:rsidRPr="00275551" w:rsidRDefault="00837EF0" w:rsidP="00837EF0">
      <w:pPr>
        <w:rPr>
          <w:rFonts w:asciiTheme="minorHAnsi" w:hAnsiTheme="minorHAnsi" w:cs="Times New Roman"/>
          <w:color w:val="auto"/>
          <w:sz w:val="28"/>
          <w:szCs w:val="28"/>
        </w:rPr>
      </w:pPr>
    </w:p>
    <w:p w14:paraId="5D680FD2" w14:textId="30856A1F" w:rsidR="00EA33D8" w:rsidRPr="00275551" w:rsidRDefault="00837EF0" w:rsidP="00A40087">
      <w:pPr>
        <w:rPr>
          <w:rFonts w:asciiTheme="minorHAnsi" w:hAnsiTheme="minorHAnsi" w:cs="Times New Roman"/>
          <w:color w:val="auto"/>
          <w:sz w:val="28"/>
          <w:szCs w:val="28"/>
          <w:lang w:val="en-GB"/>
        </w:rPr>
      </w:pPr>
      <w:r w:rsidRPr="00275551">
        <w:rPr>
          <w:rFonts w:asciiTheme="minorHAnsi" w:hAnsiTheme="minorHAnsi" w:cs="Times New Roman"/>
          <w:color w:val="auto"/>
          <w:sz w:val="28"/>
          <w:szCs w:val="28"/>
        </w:rPr>
        <w:t xml:space="preserve">Periodontal disease significantly contributes to </w:t>
      </w:r>
      <w:r w:rsidR="00F17312" w:rsidRPr="00275551">
        <w:rPr>
          <w:rFonts w:asciiTheme="minorHAnsi" w:hAnsiTheme="minorHAnsi" w:cs="Times New Roman"/>
          <w:color w:val="auto"/>
          <w:sz w:val="28"/>
          <w:szCs w:val="28"/>
        </w:rPr>
        <w:t>the global burden of disease (15</w:t>
      </w:r>
      <w:r w:rsidRPr="00275551">
        <w:rPr>
          <w:rFonts w:asciiTheme="minorHAnsi" w:hAnsiTheme="minorHAnsi" w:cs="Times New Roman"/>
          <w:color w:val="auto"/>
          <w:sz w:val="28"/>
          <w:szCs w:val="28"/>
        </w:rPr>
        <w:t xml:space="preserve">). There is a clear relationship between poor oral </w:t>
      </w:r>
      <w:r w:rsidR="001F2596" w:rsidRPr="00275551">
        <w:rPr>
          <w:rFonts w:asciiTheme="minorHAnsi" w:hAnsiTheme="minorHAnsi" w:cs="Times New Roman"/>
          <w:color w:val="auto"/>
          <w:sz w:val="28"/>
          <w:szCs w:val="28"/>
        </w:rPr>
        <w:t>hy</w:t>
      </w:r>
      <w:r w:rsidR="00F17312" w:rsidRPr="00275551">
        <w:rPr>
          <w:rFonts w:asciiTheme="minorHAnsi" w:hAnsiTheme="minorHAnsi" w:cs="Times New Roman"/>
          <w:color w:val="auto"/>
          <w:sz w:val="28"/>
          <w:szCs w:val="28"/>
        </w:rPr>
        <w:t>giene and periodontal health (16</w:t>
      </w:r>
      <w:r w:rsidR="001F2596" w:rsidRPr="00275551">
        <w:rPr>
          <w:rFonts w:asciiTheme="minorHAnsi" w:hAnsiTheme="minorHAnsi" w:cs="Times New Roman"/>
          <w:color w:val="auto"/>
          <w:sz w:val="28"/>
          <w:szCs w:val="28"/>
        </w:rPr>
        <w:t>).</w:t>
      </w:r>
      <w:r w:rsidR="001F2596" w:rsidRPr="00275551">
        <w:rPr>
          <w:rFonts w:asciiTheme="minorHAnsi" w:hAnsiTheme="minorHAnsi" w:cs="Times New Roman"/>
          <w:color w:val="auto"/>
          <w:sz w:val="28"/>
          <w:szCs w:val="28"/>
          <w:lang w:val="en-GB"/>
        </w:rPr>
        <w:t xml:space="preserve"> </w:t>
      </w:r>
      <w:r w:rsidR="00BA17A3" w:rsidRPr="00275551">
        <w:rPr>
          <w:rFonts w:asciiTheme="minorHAnsi" w:hAnsiTheme="minorHAnsi" w:cs="Times New Roman"/>
          <w:color w:val="auto"/>
          <w:sz w:val="28"/>
          <w:szCs w:val="28"/>
          <w:lang w:val="en-GB"/>
        </w:rPr>
        <w:t xml:space="preserve">Accumulation of dental plaque causes inflammatory response in the host </w:t>
      </w:r>
      <w:r w:rsidR="000941CF" w:rsidRPr="00275551">
        <w:rPr>
          <w:rFonts w:asciiTheme="minorHAnsi" w:hAnsiTheme="minorHAnsi" w:cs="Times New Roman"/>
          <w:color w:val="auto"/>
          <w:sz w:val="28"/>
          <w:szCs w:val="28"/>
          <w:lang w:val="en-GB"/>
        </w:rPr>
        <w:t xml:space="preserve">gum tissue </w:t>
      </w:r>
      <w:r w:rsidR="007454DA" w:rsidRPr="00275551">
        <w:rPr>
          <w:rFonts w:asciiTheme="minorHAnsi" w:hAnsiTheme="minorHAnsi" w:cs="Times New Roman"/>
          <w:color w:val="auto"/>
          <w:sz w:val="28"/>
          <w:szCs w:val="28"/>
          <w:lang w:val="en-GB"/>
        </w:rPr>
        <w:t xml:space="preserve">which causes the periodontal disease. </w:t>
      </w:r>
      <w:r w:rsidR="00990E4D" w:rsidRPr="00275551">
        <w:rPr>
          <w:rFonts w:asciiTheme="minorHAnsi" w:hAnsiTheme="minorHAnsi" w:cs="Times New Roman"/>
          <w:color w:val="auto"/>
          <w:sz w:val="28"/>
          <w:szCs w:val="28"/>
          <w:lang w:val="en-GB"/>
        </w:rPr>
        <w:t xml:space="preserve">The degree of damage </w:t>
      </w:r>
      <w:r w:rsidR="00D85D91" w:rsidRPr="00275551">
        <w:rPr>
          <w:rFonts w:asciiTheme="minorHAnsi" w:hAnsiTheme="minorHAnsi" w:cs="Times New Roman"/>
          <w:color w:val="auto"/>
          <w:sz w:val="28"/>
          <w:szCs w:val="28"/>
          <w:lang w:val="en-GB"/>
        </w:rPr>
        <w:t xml:space="preserve">that occurs </w:t>
      </w:r>
      <w:r w:rsidR="005750D9" w:rsidRPr="00275551">
        <w:rPr>
          <w:rFonts w:asciiTheme="minorHAnsi" w:hAnsiTheme="minorHAnsi" w:cs="Times New Roman"/>
          <w:color w:val="auto"/>
          <w:sz w:val="28"/>
          <w:szCs w:val="28"/>
          <w:lang w:val="en-GB"/>
        </w:rPr>
        <w:t xml:space="preserve">depends on the level of plaques which in turn is related to oral hygiene </w:t>
      </w:r>
      <w:r w:rsidR="003279BA" w:rsidRPr="00275551">
        <w:rPr>
          <w:rFonts w:asciiTheme="minorHAnsi" w:hAnsiTheme="minorHAnsi" w:cs="Times New Roman"/>
          <w:color w:val="auto"/>
          <w:sz w:val="28"/>
          <w:szCs w:val="28"/>
          <w:lang w:val="en-GB"/>
        </w:rPr>
        <w:t>status, sys</w:t>
      </w:r>
      <w:r w:rsidR="00F17312" w:rsidRPr="00275551">
        <w:rPr>
          <w:rFonts w:asciiTheme="minorHAnsi" w:hAnsiTheme="minorHAnsi" w:cs="Times New Roman"/>
          <w:color w:val="auto"/>
          <w:sz w:val="28"/>
          <w:szCs w:val="28"/>
          <w:lang w:val="en-GB"/>
        </w:rPr>
        <w:t>temic factors of the patient (6</w:t>
      </w:r>
      <w:r w:rsidR="003279BA" w:rsidRPr="00275551">
        <w:rPr>
          <w:rFonts w:asciiTheme="minorHAnsi" w:hAnsiTheme="minorHAnsi" w:cs="Times New Roman"/>
          <w:color w:val="auto"/>
          <w:sz w:val="28"/>
          <w:szCs w:val="28"/>
          <w:lang w:val="en-GB"/>
        </w:rPr>
        <w:t>)</w:t>
      </w:r>
      <w:r w:rsidR="00673C84" w:rsidRPr="00275551">
        <w:rPr>
          <w:rFonts w:asciiTheme="minorHAnsi" w:hAnsiTheme="minorHAnsi" w:cs="Times New Roman"/>
          <w:color w:val="auto"/>
          <w:sz w:val="28"/>
          <w:szCs w:val="28"/>
          <w:lang w:val="en-GB"/>
        </w:rPr>
        <w:t xml:space="preserve">. </w:t>
      </w:r>
      <w:r w:rsidR="00D73FC6" w:rsidRPr="00275551">
        <w:rPr>
          <w:rFonts w:asciiTheme="minorHAnsi" w:hAnsiTheme="minorHAnsi" w:cs="Times New Roman"/>
          <w:color w:val="auto"/>
          <w:sz w:val="28"/>
          <w:szCs w:val="28"/>
          <w:lang w:val="en-GB"/>
        </w:rPr>
        <w:t xml:space="preserve">Treatment of periodontal </w:t>
      </w:r>
      <w:r w:rsidR="00737098" w:rsidRPr="00275551">
        <w:rPr>
          <w:rFonts w:asciiTheme="minorHAnsi" w:hAnsiTheme="minorHAnsi" w:cs="Times New Roman"/>
          <w:color w:val="auto"/>
          <w:sz w:val="28"/>
          <w:szCs w:val="28"/>
          <w:lang w:val="en-GB"/>
        </w:rPr>
        <w:t>disease involves removal of plaque and calcified bacteria</w:t>
      </w:r>
      <w:r w:rsidR="002B7547" w:rsidRPr="00275551">
        <w:rPr>
          <w:rFonts w:asciiTheme="minorHAnsi" w:hAnsiTheme="minorHAnsi" w:cs="Times New Roman"/>
          <w:color w:val="auto"/>
          <w:sz w:val="28"/>
          <w:szCs w:val="28"/>
          <w:lang w:val="en-GB"/>
        </w:rPr>
        <w:t xml:space="preserve"> material</w:t>
      </w:r>
      <w:r w:rsidR="0073427D" w:rsidRPr="00275551">
        <w:rPr>
          <w:rFonts w:asciiTheme="minorHAnsi" w:hAnsiTheme="minorHAnsi" w:cs="Times New Roman"/>
          <w:color w:val="auto"/>
          <w:sz w:val="28"/>
          <w:szCs w:val="28"/>
          <w:lang w:val="en-GB"/>
        </w:rPr>
        <w:t xml:space="preserve"> done by the dental hygienists</w:t>
      </w:r>
      <w:r w:rsidR="003B6A20" w:rsidRPr="00275551">
        <w:rPr>
          <w:rFonts w:asciiTheme="minorHAnsi" w:hAnsiTheme="minorHAnsi" w:cs="Times New Roman"/>
          <w:color w:val="auto"/>
          <w:sz w:val="28"/>
          <w:szCs w:val="28"/>
          <w:lang w:val="en-GB"/>
        </w:rPr>
        <w:t xml:space="preserve"> and general dental practitioners</w:t>
      </w:r>
      <w:r w:rsidR="002B7547" w:rsidRPr="00275551">
        <w:rPr>
          <w:rFonts w:asciiTheme="minorHAnsi" w:hAnsiTheme="minorHAnsi" w:cs="Times New Roman"/>
          <w:color w:val="auto"/>
          <w:sz w:val="28"/>
          <w:szCs w:val="28"/>
          <w:lang w:val="en-GB"/>
        </w:rPr>
        <w:t xml:space="preserve">. </w:t>
      </w:r>
      <w:r w:rsidR="00151C39" w:rsidRPr="00275551">
        <w:rPr>
          <w:rFonts w:asciiTheme="minorHAnsi" w:hAnsiTheme="minorHAnsi" w:cs="Times New Roman"/>
          <w:color w:val="auto"/>
          <w:sz w:val="28"/>
          <w:szCs w:val="28"/>
          <w:lang w:val="en-GB"/>
        </w:rPr>
        <w:t>However failure to maintain oral hygiene can</w:t>
      </w:r>
      <w:r w:rsidR="006D0E58" w:rsidRPr="00275551">
        <w:rPr>
          <w:rFonts w:asciiTheme="minorHAnsi" w:hAnsiTheme="minorHAnsi" w:cs="Times New Roman"/>
          <w:color w:val="auto"/>
          <w:sz w:val="28"/>
          <w:szCs w:val="28"/>
          <w:lang w:val="en-GB"/>
        </w:rPr>
        <w:t xml:space="preserve"> cause failure of the treatment. </w:t>
      </w:r>
      <w:r w:rsidR="009E245E" w:rsidRPr="00275551">
        <w:rPr>
          <w:rFonts w:asciiTheme="minorHAnsi" w:hAnsiTheme="minorHAnsi" w:cs="Times New Roman"/>
          <w:color w:val="auto"/>
          <w:sz w:val="28"/>
          <w:szCs w:val="28"/>
          <w:lang w:val="en-GB"/>
        </w:rPr>
        <w:t xml:space="preserve">It's well known that </w:t>
      </w:r>
      <w:r w:rsidR="00287ACF" w:rsidRPr="00275551">
        <w:rPr>
          <w:rFonts w:asciiTheme="minorHAnsi" w:hAnsiTheme="minorHAnsi" w:cs="Times New Roman"/>
          <w:color w:val="auto"/>
          <w:sz w:val="28"/>
          <w:szCs w:val="28"/>
          <w:lang w:val="en-GB"/>
        </w:rPr>
        <w:t xml:space="preserve">self performed oral hygiene </w:t>
      </w:r>
      <w:r w:rsidR="00DF2A3A" w:rsidRPr="00275551">
        <w:rPr>
          <w:rFonts w:asciiTheme="minorHAnsi" w:hAnsiTheme="minorHAnsi" w:cs="Times New Roman"/>
          <w:color w:val="auto"/>
          <w:sz w:val="28"/>
          <w:szCs w:val="28"/>
          <w:lang w:val="en-GB"/>
        </w:rPr>
        <w:t>is the key component of pre</w:t>
      </w:r>
      <w:r w:rsidR="00580081" w:rsidRPr="00275551">
        <w:rPr>
          <w:rFonts w:asciiTheme="minorHAnsi" w:hAnsiTheme="minorHAnsi" w:cs="Times New Roman"/>
          <w:color w:val="auto"/>
          <w:sz w:val="28"/>
          <w:szCs w:val="28"/>
          <w:lang w:val="en-GB"/>
        </w:rPr>
        <w:t>vention of periodontal disease (</w:t>
      </w:r>
      <w:r w:rsidR="00F17312" w:rsidRPr="00275551">
        <w:rPr>
          <w:rFonts w:asciiTheme="minorHAnsi" w:hAnsiTheme="minorHAnsi" w:cs="Times New Roman"/>
          <w:color w:val="auto"/>
          <w:sz w:val="28"/>
          <w:szCs w:val="28"/>
          <w:lang w:val="en-GB"/>
        </w:rPr>
        <w:t>17,18,19</w:t>
      </w:r>
      <w:r w:rsidR="00D91E8D" w:rsidRPr="00275551">
        <w:rPr>
          <w:rFonts w:asciiTheme="minorHAnsi" w:hAnsiTheme="minorHAnsi" w:cs="Times New Roman"/>
          <w:color w:val="auto"/>
          <w:sz w:val="28"/>
          <w:szCs w:val="28"/>
          <w:lang w:val="en-GB"/>
        </w:rPr>
        <w:t xml:space="preserve">). </w:t>
      </w:r>
      <w:r w:rsidR="005326A2" w:rsidRPr="00275551">
        <w:rPr>
          <w:rFonts w:asciiTheme="minorHAnsi" w:hAnsiTheme="minorHAnsi" w:cs="Times New Roman"/>
          <w:color w:val="auto"/>
          <w:sz w:val="28"/>
          <w:szCs w:val="28"/>
          <w:lang w:val="en-GB"/>
        </w:rPr>
        <w:t xml:space="preserve">Adequate </w:t>
      </w:r>
      <w:r w:rsidR="00263F53" w:rsidRPr="00275551">
        <w:rPr>
          <w:rFonts w:asciiTheme="minorHAnsi" w:hAnsiTheme="minorHAnsi" w:cs="Times New Roman"/>
          <w:color w:val="auto"/>
          <w:sz w:val="28"/>
          <w:szCs w:val="28"/>
          <w:lang w:val="en-GB"/>
        </w:rPr>
        <w:t>adherence</w:t>
      </w:r>
      <w:r w:rsidR="005326A2" w:rsidRPr="00275551">
        <w:rPr>
          <w:rFonts w:asciiTheme="minorHAnsi" w:hAnsiTheme="minorHAnsi" w:cs="Times New Roman"/>
          <w:color w:val="auto"/>
          <w:sz w:val="28"/>
          <w:szCs w:val="28"/>
          <w:lang w:val="en-GB"/>
        </w:rPr>
        <w:t xml:space="preserve"> to the </w:t>
      </w:r>
      <w:r w:rsidR="008051CB" w:rsidRPr="00275551">
        <w:rPr>
          <w:rFonts w:asciiTheme="minorHAnsi" w:hAnsiTheme="minorHAnsi" w:cs="Times New Roman"/>
          <w:color w:val="auto"/>
          <w:sz w:val="28"/>
          <w:szCs w:val="28"/>
          <w:lang w:val="en-GB"/>
        </w:rPr>
        <w:t xml:space="preserve">oral hygiene instructions can </w:t>
      </w:r>
      <w:r w:rsidR="00921452" w:rsidRPr="00275551">
        <w:rPr>
          <w:rFonts w:asciiTheme="minorHAnsi" w:hAnsiTheme="minorHAnsi" w:cs="Times New Roman"/>
          <w:color w:val="auto"/>
          <w:sz w:val="28"/>
          <w:szCs w:val="28"/>
          <w:lang w:val="en-GB"/>
        </w:rPr>
        <w:t xml:space="preserve">greatly </w:t>
      </w:r>
      <w:r w:rsidR="00FE19D7" w:rsidRPr="00275551">
        <w:rPr>
          <w:rFonts w:asciiTheme="minorHAnsi" w:hAnsiTheme="minorHAnsi" w:cs="Times New Roman"/>
          <w:color w:val="auto"/>
          <w:sz w:val="28"/>
          <w:szCs w:val="28"/>
          <w:lang w:val="en-GB"/>
        </w:rPr>
        <w:t xml:space="preserve">enhance the </w:t>
      </w:r>
      <w:r w:rsidR="00F17312" w:rsidRPr="00275551">
        <w:rPr>
          <w:rFonts w:asciiTheme="minorHAnsi" w:hAnsiTheme="minorHAnsi" w:cs="Times New Roman"/>
          <w:color w:val="auto"/>
          <w:sz w:val="28"/>
          <w:szCs w:val="28"/>
          <w:lang w:val="en-GB"/>
        </w:rPr>
        <w:t>periodontal treatment (6</w:t>
      </w:r>
      <w:r w:rsidR="00F96ADD" w:rsidRPr="00275551">
        <w:rPr>
          <w:rFonts w:asciiTheme="minorHAnsi" w:hAnsiTheme="minorHAnsi" w:cs="Times New Roman"/>
          <w:color w:val="auto"/>
          <w:sz w:val="28"/>
          <w:szCs w:val="28"/>
          <w:lang w:val="en-GB"/>
        </w:rPr>
        <w:t xml:space="preserve">). </w:t>
      </w:r>
    </w:p>
    <w:p w14:paraId="710FB89A" w14:textId="77777777" w:rsidR="0046327F" w:rsidRPr="00275551" w:rsidRDefault="00A40087" w:rsidP="00A40087">
      <w:pPr>
        <w:rPr>
          <w:rFonts w:asciiTheme="minorHAnsi" w:hAnsiTheme="minorHAnsi" w:cs="Times New Roman"/>
          <w:color w:val="auto"/>
          <w:sz w:val="28"/>
          <w:szCs w:val="28"/>
          <w:lang w:val="en-GB"/>
        </w:rPr>
      </w:pPr>
      <w:r w:rsidRPr="00275551">
        <w:rPr>
          <w:rFonts w:asciiTheme="minorHAnsi" w:hAnsiTheme="minorHAnsi" w:cs="Times New Roman"/>
          <w:color w:val="auto"/>
          <w:sz w:val="28"/>
          <w:szCs w:val="28"/>
        </w:rPr>
        <w:t xml:space="preserve">The </w:t>
      </w:r>
      <w:r w:rsidR="00DF2FFA" w:rsidRPr="00275551">
        <w:rPr>
          <w:rFonts w:asciiTheme="minorHAnsi" w:hAnsiTheme="minorHAnsi" w:cs="Times New Roman"/>
          <w:color w:val="auto"/>
          <w:sz w:val="28"/>
          <w:szCs w:val="28"/>
          <w:lang w:val="en-GB"/>
        </w:rPr>
        <w:t xml:space="preserve">present </w:t>
      </w:r>
      <w:r w:rsidRPr="00275551">
        <w:rPr>
          <w:rFonts w:asciiTheme="minorHAnsi" w:hAnsiTheme="minorHAnsi" w:cs="Times New Roman"/>
          <w:color w:val="auto"/>
          <w:sz w:val="28"/>
          <w:szCs w:val="28"/>
        </w:rPr>
        <w:t xml:space="preserve">study was conducted to determine the effect of oral hygiene instructions on the periodontal health of patients. The participants were divided into three groups. Group I included oral hygiene instructions through videos, Group II showed oral hygiene instructions given orally and for group III oral hygiene instructions were not given. The patients were recalled after fifteen days. </w:t>
      </w:r>
      <w:r w:rsidR="00197A01" w:rsidRPr="00275551">
        <w:rPr>
          <w:rFonts w:asciiTheme="minorHAnsi" w:hAnsiTheme="minorHAnsi" w:cs="Times New Roman"/>
          <w:color w:val="auto"/>
          <w:sz w:val="28"/>
          <w:szCs w:val="28"/>
          <w:lang w:val="en-GB"/>
        </w:rPr>
        <w:t xml:space="preserve">This study was first of its kind </w:t>
      </w:r>
      <w:r w:rsidR="004B0A8B" w:rsidRPr="00275551">
        <w:rPr>
          <w:rFonts w:asciiTheme="minorHAnsi" w:hAnsiTheme="minorHAnsi" w:cs="Times New Roman"/>
          <w:color w:val="auto"/>
          <w:sz w:val="28"/>
          <w:szCs w:val="28"/>
          <w:lang w:val="en-GB"/>
        </w:rPr>
        <w:t>to be done comparing the</w:t>
      </w:r>
      <w:r w:rsidR="00EA59FF" w:rsidRPr="00275551">
        <w:rPr>
          <w:rFonts w:asciiTheme="minorHAnsi" w:hAnsiTheme="minorHAnsi" w:cs="Times New Roman"/>
          <w:color w:val="auto"/>
          <w:sz w:val="28"/>
          <w:szCs w:val="28"/>
          <w:lang w:val="en-GB"/>
        </w:rPr>
        <w:t xml:space="preserve"> different methods of giving oral hygiene instructions and i</w:t>
      </w:r>
      <w:r w:rsidR="004B2B86" w:rsidRPr="00275551">
        <w:rPr>
          <w:rFonts w:asciiTheme="minorHAnsi" w:hAnsiTheme="minorHAnsi" w:cs="Times New Roman"/>
          <w:color w:val="auto"/>
          <w:sz w:val="28"/>
          <w:szCs w:val="28"/>
          <w:lang w:val="en-GB"/>
        </w:rPr>
        <w:t>ts impact on periodontal health of patients.</w:t>
      </w:r>
    </w:p>
    <w:p w14:paraId="52DFB9B5" w14:textId="0329CDA8" w:rsidR="00A40087" w:rsidRPr="00275551" w:rsidRDefault="004B0A8B" w:rsidP="00A40087">
      <w:pPr>
        <w:rPr>
          <w:rFonts w:asciiTheme="minorHAnsi" w:hAnsiTheme="minorHAnsi" w:cs="Times New Roman"/>
          <w:color w:val="auto"/>
          <w:sz w:val="28"/>
          <w:szCs w:val="28"/>
          <w:lang w:val="en-GB"/>
        </w:rPr>
      </w:pPr>
      <w:r w:rsidRPr="00275551">
        <w:rPr>
          <w:rFonts w:asciiTheme="minorHAnsi" w:hAnsiTheme="minorHAnsi" w:cs="Times New Roman"/>
          <w:color w:val="auto"/>
          <w:sz w:val="28"/>
          <w:szCs w:val="28"/>
          <w:lang w:val="en-GB"/>
        </w:rPr>
        <w:t xml:space="preserve"> </w:t>
      </w:r>
      <w:r w:rsidR="00A40087" w:rsidRPr="00275551">
        <w:rPr>
          <w:rFonts w:asciiTheme="minorHAnsi" w:hAnsiTheme="minorHAnsi" w:cs="Times New Roman"/>
          <w:color w:val="auto"/>
          <w:sz w:val="28"/>
          <w:szCs w:val="28"/>
        </w:rPr>
        <w:t xml:space="preserve">The results showed that oral hygiene instructions given through videos had better compliance among the two groups. There was difference in mean in OHI and PHP index. The reduction was from 3.08 to 1.9 (OHI) and 0.3 to 0.1 (PHP) and is </w:t>
      </w:r>
      <w:r w:rsidR="00A40087" w:rsidRPr="00275551">
        <w:rPr>
          <w:rFonts w:asciiTheme="minorHAnsi" w:hAnsiTheme="minorHAnsi" w:cs="Times New Roman"/>
          <w:color w:val="auto"/>
          <w:sz w:val="28"/>
          <w:szCs w:val="28"/>
          <w:lang w:val="en-GB"/>
        </w:rPr>
        <w:t xml:space="preserve">highly </w:t>
      </w:r>
      <w:r w:rsidR="00A40087" w:rsidRPr="00275551">
        <w:rPr>
          <w:rFonts w:asciiTheme="minorHAnsi" w:hAnsiTheme="minorHAnsi" w:cs="Times New Roman"/>
          <w:color w:val="auto"/>
          <w:sz w:val="28"/>
          <w:szCs w:val="28"/>
        </w:rPr>
        <w:t xml:space="preserve">statistically significant (p value &lt; 0.05). Instructions given orally had no significant difference in mean of OHI (2.31 to 2.09) and PHP (0.3 to 0.2).  And in group III the </w:t>
      </w:r>
      <w:r w:rsidR="00A40087" w:rsidRPr="00275551">
        <w:rPr>
          <w:rFonts w:asciiTheme="minorHAnsi" w:hAnsiTheme="minorHAnsi" w:cs="Times New Roman"/>
          <w:color w:val="auto"/>
          <w:sz w:val="28"/>
          <w:szCs w:val="28"/>
          <w:lang w:val="en-GB"/>
        </w:rPr>
        <w:t xml:space="preserve">mean </w:t>
      </w:r>
      <w:r w:rsidR="00A40087" w:rsidRPr="00275551">
        <w:rPr>
          <w:rFonts w:asciiTheme="minorHAnsi" w:hAnsiTheme="minorHAnsi" w:cs="Times New Roman"/>
          <w:color w:val="auto"/>
          <w:sz w:val="28"/>
          <w:szCs w:val="28"/>
        </w:rPr>
        <w:t xml:space="preserve">reduction was from 3.7 to 3.3 (OHI) and 0.3 to 0.2 (PHP).  It was statistically significant in PHP index. </w:t>
      </w:r>
    </w:p>
    <w:p w14:paraId="617EAB36" w14:textId="1126BBFF" w:rsidR="0046327F" w:rsidRPr="00275551" w:rsidRDefault="00BE54BB">
      <w:pPr>
        <w:rPr>
          <w:rFonts w:asciiTheme="minorHAnsi" w:hAnsiTheme="minorHAnsi" w:cs="Times New Roman"/>
          <w:color w:val="auto"/>
          <w:sz w:val="28"/>
          <w:szCs w:val="28"/>
          <w:lang w:val="en-GB"/>
        </w:rPr>
      </w:pPr>
      <w:r w:rsidRPr="00275551">
        <w:rPr>
          <w:rFonts w:asciiTheme="minorHAnsi" w:hAnsiTheme="minorHAnsi" w:cs="Times New Roman"/>
          <w:color w:val="auto"/>
          <w:sz w:val="28"/>
          <w:szCs w:val="28"/>
          <w:lang w:val="en-GB"/>
        </w:rPr>
        <w:t>This shows that mass media</w:t>
      </w:r>
      <w:r w:rsidR="00E0526E" w:rsidRPr="00275551">
        <w:rPr>
          <w:rFonts w:asciiTheme="minorHAnsi" w:hAnsiTheme="minorHAnsi" w:cs="Times New Roman"/>
          <w:color w:val="auto"/>
          <w:sz w:val="28"/>
          <w:szCs w:val="28"/>
          <w:lang w:val="en-GB"/>
        </w:rPr>
        <w:t xml:space="preserve"> plays an important </w:t>
      </w:r>
      <w:r w:rsidR="00672591" w:rsidRPr="00275551">
        <w:rPr>
          <w:rFonts w:asciiTheme="minorHAnsi" w:hAnsiTheme="minorHAnsi" w:cs="Times New Roman"/>
          <w:color w:val="auto"/>
          <w:sz w:val="28"/>
          <w:szCs w:val="28"/>
          <w:lang w:val="en-GB"/>
        </w:rPr>
        <w:t xml:space="preserve">role in health promotion. </w:t>
      </w:r>
      <w:r w:rsidR="00F86969" w:rsidRPr="00275551">
        <w:rPr>
          <w:rFonts w:asciiTheme="minorHAnsi" w:hAnsiTheme="minorHAnsi" w:cs="Times New Roman"/>
          <w:color w:val="auto"/>
          <w:sz w:val="28"/>
          <w:szCs w:val="28"/>
          <w:lang w:val="en-GB"/>
        </w:rPr>
        <w:t xml:space="preserve">Studies show that mass media campaigns produce positive change in health </w:t>
      </w:r>
      <w:r w:rsidR="00E325DA" w:rsidRPr="00275551">
        <w:rPr>
          <w:rFonts w:asciiTheme="minorHAnsi" w:hAnsiTheme="minorHAnsi" w:cs="Times New Roman"/>
          <w:color w:val="auto"/>
          <w:sz w:val="28"/>
          <w:szCs w:val="28"/>
          <w:lang w:val="en-GB"/>
        </w:rPr>
        <w:t xml:space="preserve">knowledge, attitude, beliefs </w:t>
      </w:r>
      <w:r w:rsidR="00BD4925" w:rsidRPr="00275551">
        <w:rPr>
          <w:rFonts w:asciiTheme="minorHAnsi" w:hAnsiTheme="minorHAnsi" w:cs="Times New Roman"/>
          <w:color w:val="auto"/>
          <w:sz w:val="28"/>
          <w:szCs w:val="28"/>
          <w:lang w:val="en-GB"/>
        </w:rPr>
        <w:t>across populations</w:t>
      </w:r>
      <w:r w:rsidR="00F17312" w:rsidRPr="00275551">
        <w:rPr>
          <w:rFonts w:asciiTheme="minorHAnsi" w:hAnsiTheme="minorHAnsi" w:cs="Times New Roman"/>
          <w:color w:val="auto"/>
          <w:sz w:val="28"/>
          <w:szCs w:val="28"/>
          <w:lang w:val="en-GB"/>
        </w:rPr>
        <w:t xml:space="preserve"> (20,21</w:t>
      </w:r>
      <w:r w:rsidR="00F064E5" w:rsidRPr="00275551">
        <w:rPr>
          <w:rFonts w:asciiTheme="minorHAnsi" w:hAnsiTheme="minorHAnsi" w:cs="Times New Roman"/>
          <w:color w:val="auto"/>
          <w:sz w:val="28"/>
          <w:szCs w:val="28"/>
          <w:lang w:val="en-GB"/>
        </w:rPr>
        <w:t xml:space="preserve">). </w:t>
      </w:r>
      <w:r w:rsidR="00EF7E38" w:rsidRPr="00275551">
        <w:rPr>
          <w:rFonts w:asciiTheme="minorHAnsi" w:hAnsiTheme="minorHAnsi" w:cs="Times New Roman"/>
          <w:color w:val="auto"/>
          <w:sz w:val="28"/>
          <w:szCs w:val="28"/>
          <w:lang w:val="en-GB"/>
        </w:rPr>
        <w:t xml:space="preserve">Combined approach of mass media </w:t>
      </w:r>
      <w:r w:rsidR="001335ED" w:rsidRPr="00275551">
        <w:rPr>
          <w:rFonts w:asciiTheme="minorHAnsi" w:hAnsiTheme="minorHAnsi" w:cs="Times New Roman"/>
          <w:color w:val="auto"/>
          <w:sz w:val="28"/>
          <w:szCs w:val="28"/>
          <w:lang w:val="en-GB"/>
        </w:rPr>
        <w:t>and health professional input</w:t>
      </w:r>
      <w:r w:rsidR="00543F6C" w:rsidRPr="00275551">
        <w:rPr>
          <w:rFonts w:asciiTheme="minorHAnsi" w:hAnsiTheme="minorHAnsi" w:cs="Times New Roman"/>
          <w:color w:val="auto"/>
          <w:sz w:val="28"/>
          <w:szCs w:val="28"/>
          <w:lang w:val="en-GB"/>
        </w:rPr>
        <w:t xml:space="preserve"> has been shown to produce sustained behaviour change</w:t>
      </w:r>
      <w:r w:rsidR="00F17312" w:rsidRPr="00275551">
        <w:rPr>
          <w:rFonts w:asciiTheme="minorHAnsi" w:hAnsiTheme="minorHAnsi" w:cs="Times New Roman"/>
          <w:color w:val="auto"/>
          <w:sz w:val="28"/>
          <w:szCs w:val="28"/>
          <w:lang w:val="en-GB"/>
        </w:rPr>
        <w:t xml:space="preserve"> (22</w:t>
      </w:r>
      <w:r w:rsidR="0053235D" w:rsidRPr="00275551">
        <w:rPr>
          <w:rFonts w:asciiTheme="minorHAnsi" w:hAnsiTheme="minorHAnsi" w:cs="Times New Roman"/>
          <w:color w:val="auto"/>
          <w:sz w:val="28"/>
          <w:szCs w:val="28"/>
          <w:lang w:val="en-GB"/>
        </w:rPr>
        <w:t xml:space="preserve">). </w:t>
      </w:r>
      <w:r w:rsidR="005825A5" w:rsidRPr="00275551">
        <w:rPr>
          <w:rFonts w:asciiTheme="minorHAnsi" w:hAnsiTheme="minorHAnsi" w:cs="Times New Roman"/>
          <w:color w:val="auto"/>
          <w:sz w:val="28"/>
          <w:szCs w:val="28"/>
          <w:lang w:val="en-GB"/>
        </w:rPr>
        <w:t>Previous studies</w:t>
      </w:r>
      <w:r w:rsidR="00B05E34">
        <w:rPr>
          <w:rFonts w:asciiTheme="minorHAnsi" w:hAnsiTheme="minorHAnsi" w:cs="Times New Roman"/>
          <w:color w:val="auto"/>
          <w:sz w:val="28"/>
          <w:szCs w:val="28"/>
          <w:lang w:val="en-GB"/>
        </w:rPr>
        <w:t xml:space="preserve"> (23,24,25)</w:t>
      </w:r>
      <w:r w:rsidR="005825A5" w:rsidRPr="00275551">
        <w:rPr>
          <w:rFonts w:asciiTheme="minorHAnsi" w:hAnsiTheme="minorHAnsi" w:cs="Times New Roman"/>
          <w:color w:val="auto"/>
          <w:sz w:val="28"/>
          <w:szCs w:val="28"/>
          <w:lang w:val="en-GB"/>
        </w:rPr>
        <w:t xml:space="preserve"> have been </w:t>
      </w:r>
      <w:r w:rsidR="001B1147" w:rsidRPr="00275551">
        <w:rPr>
          <w:rFonts w:asciiTheme="minorHAnsi" w:hAnsiTheme="minorHAnsi" w:cs="Times New Roman"/>
          <w:color w:val="auto"/>
          <w:sz w:val="28"/>
          <w:szCs w:val="28"/>
          <w:lang w:val="en-GB"/>
        </w:rPr>
        <w:t>done to assess psychological interventions in periodontal disease.</w:t>
      </w:r>
      <w:r w:rsidR="00DE2261" w:rsidRPr="00275551">
        <w:rPr>
          <w:rFonts w:asciiTheme="minorHAnsi" w:hAnsiTheme="minorHAnsi" w:cs="Times New Roman"/>
          <w:color w:val="auto"/>
          <w:sz w:val="28"/>
          <w:szCs w:val="28"/>
          <w:lang w:val="en-GB"/>
        </w:rPr>
        <w:t xml:space="preserve"> They have showed improved</w:t>
      </w:r>
      <w:r w:rsidR="00B05E34">
        <w:rPr>
          <w:rFonts w:asciiTheme="minorHAnsi" w:hAnsiTheme="minorHAnsi" w:cs="Times New Roman"/>
          <w:color w:val="auto"/>
          <w:sz w:val="28"/>
          <w:szCs w:val="28"/>
          <w:lang w:val="en-GB"/>
        </w:rPr>
        <w:t xml:space="preserve"> oral hygiene when compared to</w:t>
      </w:r>
      <w:r w:rsidR="00DE2261" w:rsidRPr="00275551">
        <w:rPr>
          <w:rFonts w:asciiTheme="minorHAnsi" w:hAnsiTheme="minorHAnsi" w:cs="Times New Roman"/>
          <w:color w:val="auto"/>
          <w:sz w:val="28"/>
          <w:szCs w:val="28"/>
          <w:lang w:val="en-GB"/>
        </w:rPr>
        <w:t xml:space="preserve"> non intervention Groups.</w:t>
      </w:r>
    </w:p>
    <w:p w14:paraId="51878B03" w14:textId="77777777" w:rsidR="00C065A7" w:rsidRDefault="00C065A7">
      <w:pPr>
        <w:rPr>
          <w:rFonts w:asciiTheme="minorHAnsi" w:hAnsiTheme="minorHAnsi" w:cs="Times New Roman"/>
          <w:sz w:val="28"/>
          <w:szCs w:val="28"/>
        </w:rPr>
      </w:pPr>
    </w:p>
    <w:p w14:paraId="45D173E7" w14:textId="0A2D2CC6" w:rsidR="00F17312" w:rsidRDefault="00C065A7">
      <w:pPr>
        <w:rPr>
          <w:rFonts w:asciiTheme="minorHAnsi" w:hAnsiTheme="minorHAnsi" w:cs="Times New Roman"/>
          <w:sz w:val="28"/>
          <w:szCs w:val="28"/>
        </w:rPr>
      </w:pPr>
      <w:r>
        <w:rPr>
          <w:rFonts w:asciiTheme="minorHAnsi" w:hAnsiTheme="minorHAnsi" w:cs="Times New Roman"/>
          <w:sz w:val="28"/>
          <w:szCs w:val="28"/>
        </w:rPr>
        <w:t>CONCLUSION</w:t>
      </w:r>
    </w:p>
    <w:p w14:paraId="5DDFB52B" w14:textId="77777777" w:rsidR="00C065A7" w:rsidRDefault="00C065A7">
      <w:pPr>
        <w:rPr>
          <w:rFonts w:asciiTheme="minorHAnsi" w:hAnsiTheme="minorHAnsi" w:cs="Times New Roman"/>
          <w:sz w:val="28"/>
          <w:szCs w:val="28"/>
        </w:rPr>
      </w:pPr>
    </w:p>
    <w:p w14:paraId="744EB2C5" w14:textId="7BC1B69C" w:rsidR="00C065A7" w:rsidRPr="00275551" w:rsidRDefault="00C065A7">
      <w:pPr>
        <w:rPr>
          <w:rFonts w:asciiTheme="minorHAnsi" w:hAnsiTheme="minorHAnsi" w:cs="Times New Roman"/>
          <w:sz w:val="28"/>
          <w:szCs w:val="28"/>
        </w:rPr>
      </w:pPr>
      <w:r>
        <w:rPr>
          <w:rFonts w:asciiTheme="minorHAnsi" w:hAnsiTheme="minorHAnsi" w:cs="Times New Roman"/>
          <w:sz w:val="28"/>
          <w:szCs w:val="28"/>
        </w:rPr>
        <w:t>It is concluded that oral hygiene instructions have positive effect on periodontal health of patients. The method of giving instructions should be modified using mass media and other sources than giving orally. Studies of this kind with large samples should be done and recalled after longer period of time.</w:t>
      </w:r>
    </w:p>
    <w:p w14:paraId="0F5849C6" w14:textId="77777777" w:rsidR="00F17312" w:rsidRPr="00275551" w:rsidRDefault="00F17312">
      <w:pPr>
        <w:rPr>
          <w:rFonts w:asciiTheme="minorHAnsi" w:hAnsiTheme="minorHAnsi" w:cs="Times New Roman"/>
          <w:sz w:val="28"/>
          <w:szCs w:val="28"/>
        </w:rPr>
      </w:pPr>
    </w:p>
    <w:p w14:paraId="1DDB4CF6" w14:textId="77777777" w:rsidR="00645C9C" w:rsidRDefault="00645C9C">
      <w:pPr>
        <w:rPr>
          <w:rFonts w:asciiTheme="minorHAnsi" w:hAnsiTheme="minorHAnsi" w:cs="Times New Roman"/>
          <w:sz w:val="32"/>
          <w:szCs w:val="32"/>
        </w:rPr>
      </w:pPr>
    </w:p>
    <w:p w14:paraId="01244041" w14:textId="77777777" w:rsidR="00645C9C" w:rsidRDefault="00645C9C">
      <w:pPr>
        <w:rPr>
          <w:rFonts w:asciiTheme="minorHAnsi" w:hAnsiTheme="minorHAnsi" w:cs="Times New Roman"/>
          <w:sz w:val="32"/>
          <w:szCs w:val="32"/>
        </w:rPr>
      </w:pPr>
    </w:p>
    <w:p w14:paraId="66C1AAA5" w14:textId="77777777" w:rsidR="00645C9C" w:rsidRDefault="00645C9C">
      <w:pPr>
        <w:rPr>
          <w:rFonts w:asciiTheme="minorHAnsi" w:hAnsiTheme="minorHAnsi" w:cs="Times New Roman"/>
          <w:sz w:val="32"/>
          <w:szCs w:val="32"/>
        </w:rPr>
      </w:pPr>
    </w:p>
    <w:p w14:paraId="2EBC5C27" w14:textId="77777777" w:rsidR="00645C9C" w:rsidRDefault="00645C9C">
      <w:pPr>
        <w:rPr>
          <w:rFonts w:asciiTheme="minorHAnsi" w:hAnsiTheme="minorHAnsi" w:cs="Times New Roman"/>
          <w:sz w:val="32"/>
          <w:szCs w:val="32"/>
        </w:rPr>
      </w:pPr>
    </w:p>
    <w:p w14:paraId="503FBC84" w14:textId="77777777" w:rsidR="00654050" w:rsidRPr="00066FD5" w:rsidRDefault="00D61662">
      <w:pPr>
        <w:rPr>
          <w:rFonts w:asciiTheme="minorHAnsi" w:hAnsiTheme="minorHAnsi" w:cs="Times New Roman"/>
          <w:sz w:val="32"/>
          <w:szCs w:val="32"/>
        </w:rPr>
      </w:pPr>
      <w:r w:rsidRPr="00066FD5">
        <w:rPr>
          <w:rFonts w:asciiTheme="minorHAnsi" w:hAnsiTheme="minorHAnsi" w:cs="Times New Roman"/>
          <w:sz w:val="32"/>
          <w:szCs w:val="32"/>
        </w:rPr>
        <w:t>REFERENCE</w:t>
      </w:r>
    </w:p>
    <w:p w14:paraId="382FEBEB" w14:textId="77777777" w:rsidR="00D61662" w:rsidRPr="00275551" w:rsidRDefault="00D61662">
      <w:pPr>
        <w:rPr>
          <w:rFonts w:asciiTheme="minorHAnsi" w:hAnsiTheme="minorHAnsi" w:cs="Times New Roman"/>
          <w:sz w:val="28"/>
          <w:szCs w:val="28"/>
        </w:rPr>
      </w:pPr>
    </w:p>
    <w:p w14:paraId="217A79A7" w14:textId="77777777" w:rsidR="00D61662" w:rsidRPr="00275551" w:rsidRDefault="00D61662" w:rsidP="00D61662">
      <w:pPr>
        <w:pStyle w:val="ListParagraph"/>
        <w:numPr>
          <w:ilvl w:val="0"/>
          <w:numId w:val="1"/>
        </w:numPr>
        <w:rPr>
          <w:sz w:val="28"/>
          <w:szCs w:val="28"/>
        </w:rPr>
      </w:pPr>
      <w:r w:rsidRPr="00275551">
        <w:rPr>
          <w:sz w:val="28"/>
          <w:szCs w:val="28"/>
        </w:rPr>
        <w:t>Petersen PE. The World Oral Health Report 2003: Continuous improvement of oral health in the 21st century - The approach of the WHO Global Oral Health Programme. Community Dent Oral Epidemiol 2003; 31(Suppl. 1):3-24.</w:t>
      </w:r>
    </w:p>
    <w:p w14:paraId="7299C8FE" w14:textId="77777777" w:rsidR="00D61662" w:rsidRPr="00275551" w:rsidRDefault="00D61662" w:rsidP="00D61662">
      <w:pPr>
        <w:pStyle w:val="ListParagraph"/>
        <w:numPr>
          <w:ilvl w:val="0"/>
          <w:numId w:val="1"/>
        </w:numPr>
        <w:rPr>
          <w:sz w:val="28"/>
          <w:szCs w:val="28"/>
        </w:rPr>
      </w:pPr>
      <w:r w:rsidRPr="00275551">
        <w:rPr>
          <w:sz w:val="28"/>
          <w:szCs w:val="28"/>
        </w:rPr>
        <w:t xml:space="preserve"> Papapanou PN. Epidemiology of periodontal diseases: An update. J Int Acad Periodontol 1999;1:110-116</w:t>
      </w:r>
    </w:p>
    <w:p w14:paraId="10C0A380" w14:textId="77777777" w:rsidR="00D61662" w:rsidRPr="00275551" w:rsidRDefault="00D61662" w:rsidP="00D61662">
      <w:pPr>
        <w:pStyle w:val="ListParagraph"/>
        <w:numPr>
          <w:ilvl w:val="0"/>
          <w:numId w:val="1"/>
        </w:numPr>
        <w:rPr>
          <w:sz w:val="28"/>
          <w:szCs w:val="28"/>
        </w:rPr>
      </w:pPr>
      <w:r w:rsidRPr="00275551">
        <w:rPr>
          <w:sz w:val="28"/>
          <w:szCs w:val="28"/>
        </w:rPr>
        <w:t>Petersen PE, Ogawa H. Strengthening the prevention of periodontal disease: the WHO approach. J Periodontol. 2005;76:2187-93.</w:t>
      </w:r>
    </w:p>
    <w:p w14:paraId="494D1647" w14:textId="77777777" w:rsidR="00D61662" w:rsidRPr="00275551" w:rsidRDefault="00D61662" w:rsidP="00D61662">
      <w:pPr>
        <w:pStyle w:val="ListParagraph"/>
        <w:numPr>
          <w:ilvl w:val="0"/>
          <w:numId w:val="1"/>
        </w:numPr>
        <w:rPr>
          <w:sz w:val="28"/>
          <w:szCs w:val="28"/>
        </w:rPr>
      </w:pPr>
      <w:r w:rsidRPr="00275551">
        <w:rPr>
          <w:sz w:val="28"/>
          <w:szCs w:val="28"/>
        </w:rPr>
        <w:t>Kinane DF. Causation and pathogenesis of periodontal disease. Periodontol  2000;25: 8–20.</w:t>
      </w:r>
    </w:p>
    <w:p w14:paraId="516CD719" w14:textId="77777777" w:rsidR="00D61662" w:rsidRPr="00275551" w:rsidRDefault="00D61662" w:rsidP="00D61662">
      <w:pPr>
        <w:pStyle w:val="ListParagraph"/>
        <w:numPr>
          <w:ilvl w:val="0"/>
          <w:numId w:val="1"/>
        </w:numPr>
        <w:rPr>
          <w:sz w:val="28"/>
          <w:szCs w:val="28"/>
        </w:rPr>
      </w:pPr>
      <w:r w:rsidRPr="00275551">
        <w:rPr>
          <w:sz w:val="28"/>
          <w:szCs w:val="28"/>
        </w:rPr>
        <w:t>Kornman KS, Page RC, Tonetti MS. The host response to the microbial challenge in periodontitis: assembling the players. Periodontol 2000  1997;14: 33–53</w:t>
      </w:r>
    </w:p>
    <w:p w14:paraId="5784C12F" w14:textId="77777777" w:rsidR="00D61662" w:rsidRPr="00275551" w:rsidRDefault="00D61662" w:rsidP="00D61662">
      <w:pPr>
        <w:pStyle w:val="ListParagraph"/>
        <w:numPr>
          <w:ilvl w:val="0"/>
          <w:numId w:val="1"/>
        </w:numPr>
        <w:rPr>
          <w:sz w:val="28"/>
          <w:szCs w:val="28"/>
        </w:rPr>
      </w:pPr>
      <w:r w:rsidRPr="00275551">
        <w:rPr>
          <w:sz w:val="28"/>
          <w:szCs w:val="28"/>
        </w:rPr>
        <w:t>Renz A, Ide M, Newton T, Robinson P, Smith D. Psychological interventions to improve adherence to oral hygiene instructions in adults with periodontal diseases (Review). TheCochrane Library 2007, Issue 2</w:t>
      </w:r>
    </w:p>
    <w:p w14:paraId="1AF3FF85" w14:textId="77777777" w:rsidR="00D61662" w:rsidRPr="00275551" w:rsidRDefault="00D61662" w:rsidP="00D61662">
      <w:pPr>
        <w:pStyle w:val="ListParagraph"/>
        <w:numPr>
          <w:ilvl w:val="0"/>
          <w:numId w:val="1"/>
        </w:numPr>
        <w:rPr>
          <w:sz w:val="28"/>
          <w:szCs w:val="28"/>
        </w:rPr>
      </w:pPr>
      <w:r w:rsidRPr="00275551">
        <w:rPr>
          <w:sz w:val="28"/>
          <w:szCs w:val="28"/>
        </w:rPr>
        <w:t>Newton, J. T. (2013) Effective communication with patients to improve motivation. In. Palmer, R. M., Ide, M. &amp; Floyd, P. D. (eds). A clinical guide to periodontology, 3rd edition. pp. 33–40. London: British Dental Association.</w:t>
      </w:r>
    </w:p>
    <w:p w14:paraId="1D9E43D2" w14:textId="77777777" w:rsidR="00D61662" w:rsidRPr="00275551" w:rsidRDefault="00D61662" w:rsidP="00D61662">
      <w:pPr>
        <w:pStyle w:val="ListParagraph"/>
        <w:numPr>
          <w:ilvl w:val="0"/>
          <w:numId w:val="1"/>
        </w:numPr>
        <w:rPr>
          <w:sz w:val="28"/>
          <w:szCs w:val="28"/>
        </w:rPr>
      </w:pPr>
      <w:r w:rsidRPr="00275551">
        <w:rPr>
          <w:sz w:val="28"/>
          <w:szCs w:val="28"/>
        </w:rPr>
        <w:t>Cercek JF, Kiger RD, Garrett S, Egelberg J. Relative effects of plaque control and instrumentation on the clinical parameters of human periodontal disease. Journal of Clinical Periodontology 1983;10(1):46–56.</w:t>
      </w:r>
    </w:p>
    <w:p w14:paraId="5B9C9319" w14:textId="77777777" w:rsidR="00D61662" w:rsidRPr="00275551" w:rsidRDefault="00D61662" w:rsidP="00D61662">
      <w:pPr>
        <w:pStyle w:val="ListParagraph"/>
        <w:numPr>
          <w:ilvl w:val="0"/>
          <w:numId w:val="1"/>
        </w:numPr>
        <w:rPr>
          <w:sz w:val="28"/>
          <w:szCs w:val="28"/>
        </w:rPr>
      </w:pPr>
      <w:r w:rsidRPr="00275551">
        <w:rPr>
          <w:sz w:val="28"/>
          <w:szCs w:val="28"/>
        </w:rPr>
        <w:t>Magnusson I, Lindhe J, Yoneyama T, Liljenberg B. Reconolization of a subgingival microbiota following scaling in deep pockets. Journal of Clinical Periodontology 1984;11 (3):193–207.</w:t>
      </w:r>
    </w:p>
    <w:p w14:paraId="20C40EAF" w14:textId="77777777" w:rsidR="00D61662" w:rsidRPr="00275551" w:rsidRDefault="00D61662" w:rsidP="00D61662">
      <w:pPr>
        <w:pStyle w:val="ListParagraph"/>
        <w:numPr>
          <w:ilvl w:val="0"/>
          <w:numId w:val="1"/>
        </w:numPr>
        <w:rPr>
          <w:sz w:val="28"/>
          <w:szCs w:val="28"/>
        </w:rPr>
      </w:pPr>
      <w:r w:rsidRPr="00275551">
        <w:rPr>
          <w:sz w:val="28"/>
          <w:szCs w:val="28"/>
        </w:rPr>
        <w:t>Meyers LB, Midence K. Adherence to treatment in medical conditions. Amsterdam: Harwood Academic, 1998.</w:t>
      </w:r>
    </w:p>
    <w:p w14:paraId="1C7418EE" w14:textId="77777777" w:rsidR="00D61662" w:rsidRPr="00275551" w:rsidRDefault="00D61662" w:rsidP="00D61662">
      <w:pPr>
        <w:pStyle w:val="ListParagraph"/>
        <w:numPr>
          <w:ilvl w:val="0"/>
          <w:numId w:val="1"/>
        </w:numPr>
        <w:rPr>
          <w:sz w:val="28"/>
          <w:szCs w:val="28"/>
        </w:rPr>
      </w:pPr>
      <w:r w:rsidRPr="00275551">
        <w:rPr>
          <w:sz w:val="28"/>
          <w:szCs w:val="28"/>
        </w:rPr>
        <w:t>Turner Y, Ashley FP, Wilson RF. Effectiveness of oral hygiene with and without root planing in treating subjects with chronic periodontitis. British Dental Journal 1994;177 (10):367–7</w:t>
      </w:r>
    </w:p>
    <w:p w14:paraId="2CED35A2" w14:textId="77777777" w:rsidR="00D61662" w:rsidRPr="00275551" w:rsidRDefault="00D61662" w:rsidP="00D61662">
      <w:pPr>
        <w:pStyle w:val="ListParagraph"/>
        <w:numPr>
          <w:ilvl w:val="0"/>
          <w:numId w:val="1"/>
        </w:numPr>
        <w:rPr>
          <w:sz w:val="28"/>
          <w:szCs w:val="28"/>
        </w:rPr>
      </w:pPr>
      <w:r w:rsidRPr="00275551">
        <w:rPr>
          <w:sz w:val="28"/>
          <w:szCs w:val="28"/>
        </w:rPr>
        <w:t>Greene, J. C., and Vermillion, J. R. : The oral hygiene index: a method for classifying oral hygiene status. J Amer Dent Assoc 61 : 172-179, August 1960.</w:t>
      </w:r>
    </w:p>
    <w:p w14:paraId="232F5328" w14:textId="77777777" w:rsidR="00D61662" w:rsidRPr="00275551" w:rsidRDefault="00D61662" w:rsidP="00D61662">
      <w:pPr>
        <w:pStyle w:val="ListParagraph"/>
        <w:numPr>
          <w:ilvl w:val="0"/>
          <w:numId w:val="1"/>
        </w:numPr>
        <w:rPr>
          <w:sz w:val="28"/>
          <w:szCs w:val="28"/>
        </w:rPr>
      </w:pPr>
      <w:r w:rsidRPr="00275551">
        <w:rPr>
          <w:sz w:val="28"/>
          <w:szCs w:val="28"/>
        </w:rPr>
        <w:t>Greene, J. C., and Vermillion, J. R. : The simplified oral hygiene index. J Amer Dent Assoc 68: 7-13, January 1964.</w:t>
      </w:r>
    </w:p>
    <w:p w14:paraId="6995EE0F" w14:textId="77777777" w:rsidR="00D61662" w:rsidRPr="00275551" w:rsidRDefault="00D61662" w:rsidP="00D61662">
      <w:pPr>
        <w:pStyle w:val="ListParagraph"/>
        <w:numPr>
          <w:ilvl w:val="0"/>
          <w:numId w:val="1"/>
        </w:numPr>
        <w:rPr>
          <w:sz w:val="28"/>
          <w:szCs w:val="28"/>
        </w:rPr>
      </w:pPr>
      <w:r w:rsidRPr="00275551">
        <w:rPr>
          <w:sz w:val="28"/>
          <w:szCs w:val="28"/>
        </w:rPr>
        <w:t xml:space="preserve"> Podshadley, A. G. and Haley, J. V. A method for evaluating patient hygiene performance by observation of selected tooth surfaces. Publ Health Rep 83:259, 1968.</w:t>
      </w:r>
    </w:p>
    <w:p w14:paraId="37DAAF0F" w14:textId="77777777" w:rsidR="00837EF0" w:rsidRPr="00275551" w:rsidRDefault="00837EF0" w:rsidP="00837EF0">
      <w:pPr>
        <w:pStyle w:val="ListParagraph"/>
        <w:numPr>
          <w:ilvl w:val="0"/>
          <w:numId w:val="1"/>
        </w:numPr>
        <w:rPr>
          <w:sz w:val="28"/>
          <w:szCs w:val="28"/>
        </w:rPr>
      </w:pPr>
      <w:r w:rsidRPr="00275551">
        <w:rPr>
          <w:sz w:val="28"/>
          <w:szCs w:val="28"/>
        </w:rPr>
        <w:t>Kolawole KA, Otuyemi OD, Oluwadaisi AM. Assessment of oral health-related quality of life in Nigerian children using the Child Perceptions Questionnaire (CPQ 11-14) Eur J Paediatr Dent. 2011;12:55–9</w:t>
      </w:r>
    </w:p>
    <w:p w14:paraId="5B7AA4B8" w14:textId="77777777" w:rsidR="00837EF0" w:rsidRPr="00275551" w:rsidRDefault="00837EF0" w:rsidP="00837EF0">
      <w:pPr>
        <w:pStyle w:val="ListParagraph"/>
        <w:numPr>
          <w:ilvl w:val="0"/>
          <w:numId w:val="1"/>
        </w:numPr>
        <w:rPr>
          <w:sz w:val="28"/>
          <w:szCs w:val="28"/>
        </w:rPr>
      </w:pPr>
      <w:r w:rsidRPr="00275551">
        <w:rPr>
          <w:sz w:val="28"/>
          <w:szCs w:val="28"/>
        </w:rPr>
        <w:t>Epidemiology of Periodontal Diseases, J Periodontol 2005;76:1406-1419</w:t>
      </w:r>
    </w:p>
    <w:p w14:paraId="0B0E119F" w14:textId="00951CA9" w:rsidR="00837EF0" w:rsidRPr="00275551" w:rsidRDefault="00130CB1" w:rsidP="00D61662">
      <w:pPr>
        <w:pStyle w:val="ListParagraph"/>
        <w:numPr>
          <w:ilvl w:val="0"/>
          <w:numId w:val="1"/>
        </w:numPr>
        <w:rPr>
          <w:sz w:val="28"/>
          <w:szCs w:val="28"/>
        </w:rPr>
      </w:pPr>
      <w:r w:rsidRPr="00275551">
        <w:rPr>
          <w:sz w:val="28"/>
          <w:szCs w:val="28"/>
        </w:rPr>
        <w:lastRenderedPageBreak/>
        <w:t>Axelsson P, Lindhe J. Effect of controlled oral hygiene procedures on caries and periodontal disease in adults. Results after 6 years. Journal of Clinical Periodontology 1981; 8(3):239–48.</w:t>
      </w:r>
    </w:p>
    <w:p w14:paraId="404B2641" w14:textId="55DB2171" w:rsidR="0085721E" w:rsidRPr="00275551" w:rsidRDefault="001D6E07" w:rsidP="00D61662">
      <w:pPr>
        <w:pStyle w:val="ListParagraph"/>
        <w:numPr>
          <w:ilvl w:val="0"/>
          <w:numId w:val="1"/>
        </w:numPr>
        <w:rPr>
          <w:sz w:val="28"/>
          <w:szCs w:val="28"/>
        </w:rPr>
      </w:pPr>
      <w:r w:rsidRPr="00275551">
        <w:rPr>
          <w:sz w:val="28"/>
          <w:szCs w:val="28"/>
        </w:rPr>
        <w:t>Listgarten MA, Sullivan P, George C, Nitkin L, Rosenberg ES, Chilton NW, et al.Comparitive longitudinal study of 2 methods of scheduling maintenance visits: 4-year data. Journal of Clinical Periodontology 1989;16(2):105–15</w:t>
      </w:r>
    </w:p>
    <w:p w14:paraId="3068796F" w14:textId="359F551C" w:rsidR="00D91E8D" w:rsidRPr="00275551" w:rsidRDefault="00D91E8D" w:rsidP="00D61662">
      <w:pPr>
        <w:pStyle w:val="ListParagraph"/>
        <w:numPr>
          <w:ilvl w:val="0"/>
          <w:numId w:val="1"/>
        </w:numPr>
        <w:rPr>
          <w:sz w:val="28"/>
          <w:szCs w:val="28"/>
        </w:rPr>
      </w:pPr>
      <w:r w:rsidRPr="00275551">
        <w:rPr>
          <w:sz w:val="28"/>
          <w:szCs w:val="28"/>
        </w:rPr>
        <w:t>Sbordone L, Ramaglia L, Gulletta E, Iacono V. Recolonization of the subgingival microflora after scaling and root planing in human periodontitis. Journal of Periodontology 1990;61(9):579–84.</w:t>
      </w:r>
    </w:p>
    <w:p w14:paraId="697879FC" w14:textId="48104A1C" w:rsidR="009B5E85" w:rsidRPr="00275551" w:rsidRDefault="009B5E85" w:rsidP="00B61CFB">
      <w:pPr>
        <w:pStyle w:val="ListParagraph"/>
        <w:numPr>
          <w:ilvl w:val="0"/>
          <w:numId w:val="1"/>
        </w:numPr>
        <w:rPr>
          <w:sz w:val="28"/>
          <w:szCs w:val="28"/>
        </w:rPr>
      </w:pPr>
      <w:r w:rsidRPr="00275551">
        <w:rPr>
          <w:sz w:val="28"/>
          <w:szCs w:val="28"/>
        </w:rPr>
        <w:t>Noar SM: A 10-year retrospective of research in health mass media campaigns: where do we go from here?. J Health Commun. 2006, 11: 21-42. 10.1080/10810730500461059.</w:t>
      </w:r>
    </w:p>
    <w:p w14:paraId="5CAB4E69" w14:textId="4DECAB7D" w:rsidR="009B5E85" w:rsidRPr="00275551" w:rsidRDefault="009B5E85" w:rsidP="009B5E85">
      <w:pPr>
        <w:pStyle w:val="ListParagraph"/>
        <w:numPr>
          <w:ilvl w:val="0"/>
          <w:numId w:val="1"/>
        </w:numPr>
        <w:rPr>
          <w:sz w:val="28"/>
          <w:szCs w:val="28"/>
        </w:rPr>
      </w:pPr>
      <w:r w:rsidRPr="00275551">
        <w:rPr>
          <w:sz w:val="28"/>
          <w:szCs w:val="28"/>
        </w:rPr>
        <w:t>Wakefield MA, Loken B, Hornik RC: Use of mass media campaigns to change health behaviour. Lancet. 2010, 376: 1261-71. 10.1016/S0140-6736(10)60809-4.</w:t>
      </w:r>
    </w:p>
    <w:p w14:paraId="1F2DDA8B" w14:textId="60C9F2DE" w:rsidR="002C0BC1" w:rsidRPr="00B05E34" w:rsidRDefault="002C0BC1" w:rsidP="009B5E85">
      <w:pPr>
        <w:pStyle w:val="ListParagraph"/>
        <w:numPr>
          <w:ilvl w:val="0"/>
          <w:numId w:val="1"/>
        </w:numPr>
        <w:rPr>
          <w:sz w:val="28"/>
          <w:szCs w:val="28"/>
        </w:rPr>
      </w:pPr>
      <w:r w:rsidRPr="00275551">
        <w:rPr>
          <w:sz w:val="28"/>
          <w:szCs w:val="28"/>
          <w:lang w:val="en-GB"/>
        </w:rPr>
        <w:t>Flay, B</w:t>
      </w:r>
      <w:r w:rsidR="006C2840" w:rsidRPr="00275551">
        <w:rPr>
          <w:sz w:val="28"/>
          <w:szCs w:val="28"/>
          <w:lang w:val="en-GB"/>
        </w:rPr>
        <w:t xml:space="preserve">. R. (1987) Evaluation of the development, dissemination and effectiveness of </w:t>
      </w:r>
      <w:r w:rsidR="0087711F" w:rsidRPr="00275551">
        <w:rPr>
          <w:sz w:val="28"/>
          <w:szCs w:val="28"/>
          <w:lang w:val="en-GB"/>
        </w:rPr>
        <w:t>mass media health programming. Health Education Research, 2, 123-130</w:t>
      </w:r>
      <w:r w:rsidR="00F84BA9" w:rsidRPr="00275551">
        <w:rPr>
          <w:sz w:val="28"/>
          <w:szCs w:val="28"/>
          <w:lang w:val="en-GB"/>
        </w:rPr>
        <w:t>.</w:t>
      </w:r>
    </w:p>
    <w:p w14:paraId="0B727445" w14:textId="77777777" w:rsidR="00B05E34" w:rsidRPr="00B05E34" w:rsidRDefault="00B05E34" w:rsidP="00B05E34">
      <w:pPr>
        <w:pStyle w:val="ListParagraph"/>
        <w:numPr>
          <w:ilvl w:val="0"/>
          <w:numId w:val="1"/>
        </w:numPr>
        <w:rPr>
          <w:sz w:val="28"/>
          <w:szCs w:val="28"/>
        </w:rPr>
      </w:pPr>
      <w:r w:rsidRPr="00B05E34">
        <w:rPr>
          <w:sz w:val="28"/>
          <w:szCs w:val="28"/>
        </w:rPr>
        <w:t>Little SJ, Hollis JF, Stevens VJ, Mount K, Mullooly JP, Johnson BD. Effective group behavioural intervention for older periodontal patients. Journal of Periodontal Research 1997;32(3):315–25.</w:t>
      </w:r>
    </w:p>
    <w:p w14:paraId="40E32361" w14:textId="77777777" w:rsidR="00B05E34" w:rsidRPr="00B05E34" w:rsidRDefault="00B05E34" w:rsidP="00B05E34">
      <w:pPr>
        <w:pStyle w:val="ListParagraph"/>
        <w:numPr>
          <w:ilvl w:val="0"/>
          <w:numId w:val="1"/>
        </w:numPr>
        <w:rPr>
          <w:sz w:val="28"/>
          <w:szCs w:val="28"/>
        </w:rPr>
      </w:pPr>
      <w:r w:rsidRPr="00B05E34">
        <w:rPr>
          <w:sz w:val="28"/>
          <w:szCs w:val="28"/>
        </w:rPr>
        <w:t>Stewart JE, Jacobs-Schoen M, Padilla MR, Maeder LA, Wolfe GR, Hartz GW. The effect of a cognitive behavioural intervention on oral hygiene. Journal of Clinical Periodontology 1991;18(4):219–22.</w:t>
      </w:r>
    </w:p>
    <w:p w14:paraId="1606E75A" w14:textId="4CF6159C" w:rsidR="00B05E34" w:rsidRPr="00275551" w:rsidRDefault="00B05E34" w:rsidP="00B05E34">
      <w:pPr>
        <w:pStyle w:val="ListParagraph"/>
        <w:numPr>
          <w:ilvl w:val="0"/>
          <w:numId w:val="1"/>
        </w:numPr>
        <w:rPr>
          <w:sz w:val="28"/>
          <w:szCs w:val="28"/>
        </w:rPr>
      </w:pPr>
      <w:r w:rsidRPr="00B05E34">
        <w:rPr>
          <w:sz w:val="28"/>
          <w:szCs w:val="28"/>
        </w:rPr>
        <w:t>Weinstein R, Tosolin F, Ghilardi L, Zanardelli E. Psychological intervention in patients with poor compliance. Journal of Clinical Perio</w:t>
      </w:r>
      <w:r w:rsidR="00BD5353">
        <w:rPr>
          <w:sz w:val="28"/>
          <w:szCs w:val="28"/>
        </w:rPr>
        <w:t>dontology 1996;23(3 Pt 2):283–</w:t>
      </w:r>
    </w:p>
    <w:p w14:paraId="35C6AE05" w14:textId="77777777" w:rsidR="00D61662" w:rsidRPr="00275551" w:rsidRDefault="00D61662">
      <w:pPr>
        <w:rPr>
          <w:rFonts w:asciiTheme="minorHAnsi" w:hAnsiTheme="minorHAnsi" w:cs="Times New Roman"/>
          <w:sz w:val="28"/>
          <w:szCs w:val="28"/>
        </w:rPr>
      </w:pPr>
    </w:p>
    <w:sectPr w:rsidR="00D61662" w:rsidRPr="00275551" w:rsidSect="00240058">
      <w:pgSz w:w="11907" w:h="16839" w:code="9"/>
      <w:pgMar w:top="720" w:right="720" w:bottom="720" w:left="720" w:header="720" w:footer="720" w:gutter="0"/>
      <w:cols w:space="720"/>
      <w:noEndnote/>
      <w:docGrid w:linePitch="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D5C76" w14:textId="77777777" w:rsidR="0044359D" w:rsidRDefault="0044359D" w:rsidP="00400D83">
      <w:r>
        <w:separator/>
      </w:r>
    </w:p>
  </w:endnote>
  <w:endnote w:type="continuationSeparator" w:id="0">
    <w:p w14:paraId="028264D0" w14:textId="77777777" w:rsidR="0044359D" w:rsidRDefault="0044359D" w:rsidP="0040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DD668" w14:textId="77777777" w:rsidR="0044359D" w:rsidRDefault="0044359D" w:rsidP="00400D83">
      <w:r>
        <w:separator/>
      </w:r>
    </w:p>
  </w:footnote>
  <w:footnote w:type="continuationSeparator" w:id="0">
    <w:p w14:paraId="461078A1" w14:textId="77777777" w:rsidR="0044359D" w:rsidRDefault="0044359D" w:rsidP="00400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60C9A"/>
    <w:multiLevelType w:val="hybridMultilevel"/>
    <w:tmpl w:val="09125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0A1627"/>
    <w:multiLevelType w:val="hybridMultilevel"/>
    <w:tmpl w:val="D50E324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2387256B"/>
    <w:multiLevelType w:val="hybridMultilevel"/>
    <w:tmpl w:val="8916A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25E6C"/>
    <w:multiLevelType w:val="hybridMultilevel"/>
    <w:tmpl w:val="77A6B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CE2BE4"/>
    <w:multiLevelType w:val="hybridMultilevel"/>
    <w:tmpl w:val="3CFC2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4A0592"/>
    <w:multiLevelType w:val="hybridMultilevel"/>
    <w:tmpl w:val="D18CA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09794E"/>
    <w:multiLevelType w:val="hybridMultilevel"/>
    <w:tmpl w:val="594C0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CC027B"/>
    <w:multiLevelType w:val="hybridMultilevel"/>
    <w:tmpl w:val="E81E6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71408C"/>
    <w:multiLevelType w:val="hybridMultilevel"/>
    <w:tmpl w:val="4C027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E94AE5"/>
    <w:multiLevelType w:val="hybridMultilevel"/>
    <w:tmpl w:val="2D882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6"/>
  </w:num>
  <w:num w:numId="5">
    <w:abstractNumId w:val="3"/>
  </w:num>
  <w:num w:numId="6">
    <w:abstractNumId w:val="2"/>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FE"/>
    <w:rsid w:val="00017186"/>
    <w:rsid w:val="00025371"/>
    <w:rsid w:val="00027BB0"/>
    <w:rsid w:val="00066FD5"/>
    <w:rsid w:val="0007162A"/>
    <w:rsid w:val="00086674"/>
    <w:rsid w:val="000941CF"/>
    <w:rsid w:val="00130CB1"/>
    <w:rsid w:val="001335ED"/>
    <w:rsid w:val="001517AC"/>
    <w:rsid w:val="00151C39"/>
    <w:rsid w:val="00154C97"/>
    <w:rsid w:val="00194219"/>
    <w:rsid w:val="00197A01"/>
    <w:rsid w:val="001A00FE"/>
    <w:rsid w:val="001A2392"/>
    <w:rsid w:val="001A46D0"/>
    <w:rsid w:val="001B1147"/>
    <w:rsid w:val="001B1A02"/>
    <w:rsid w:val="001B2F2F"/>
    <w:rsid w:val="001C7DCF"/>
    <w:rsid w:val="001D298D"/>
    <w:rsid w:val="001D6E07"/>
    <w:rsid w:val="001F2596"/>
    <w:rsid w:val="0022238F"/>
    <w:rsid w:val="00236125"/>
    <w:rsid w:val="00240058"/>
    <w:rsid w:val="00263F53"/>
    <w:rsid w:val="00275551"/>
    <w:rsid w:val="00287ACF"/>
    <w:rsid w:val="00287F38"/>
    <w:rsid w:val="002B7547"/>
    <w:rsid w:val="002C0BC1"/>
    <w:rsid w:val="00312229"/>
    <w:rsid w:val="00312894"/>
    <w:rsid w:val="003279BA"/>
    <w:rsid w:val="00352A56"/>
    <w:rsid w:val="003543D9"/>
    <w:rsid w:val="00397B83"/>
    <w:rsid w:val="003B6A20"/>
    <w:rsid w:val="003F35A2"/>
    <w:rsid w:val="00400D83"/>
    <w:rsid w:val="004257A8"/>
    <w:rsid w:val="00442A82"/>
    <w:rsid w:val="0044359D"/>
    <w:rsid w:val="004444F5"/>
    <w:rsid w:val="0046327F"/>
    <w:rsid w:val="00471E3C"/>
    <w:rsid w:val="004904AB"/>
    <w:rsid w:val="004B0A8B"/>
    <w:rsid w:val="004B2B86"/>
    <w:rsid w:val="004C73CB"/>
    <w:rsid w:val="004D4B86"/>
    <w:rsid w:val="00514F6B"/>
    <w:rsid w:val="0053235D"/>
    <w:rsid w:val="005326A2"/>
    <w:rsid w:val="00543F6C"/>
    <w:rsid w:val="0054607B"/>
    <w:rsid w:val="005664DF"/>
    <w:rsid w:val="005750D9"/>
    <w:rsid w:val="005778DA"/>
    <w:rsid w:val="00580081"/>
    <w:rsid w:val="005825A5"/>
    <w:rsid w:val="005A459D"/>
    <w:rsid w:val="005D0928"/>
    <w:rsid w:val="00602063"/>
    <w:rsid w:val="006178AA"/>
    <w:rsid w:val="00645C9C"/>
    <w:rsid w:val="00654050"/>
    <w:rsid w:val="00657E47"/>
    <w:rsid w:val="00670A6D"/>
    <w:rsid w:val="00672591"/>
    <w:rsid w:val="00673C84"/>
    <w:rsid w:val="006A2BCC"/>
    <w:rsid w:val="006A77A9"/>
    <w:rsid w:val="006A7803"/>
    <w:rsid w:val="006C08BC"/>
    <w:rsid w:val="006C2840"/>
    <w:rsid w:val="006D0E58"/>
    <w:rsid w:val="0071190A"/>
    <w:rsid w:val="0073427D"/>
    <w:rsid w:val="00737098"/>
    <w:rsid w:val="007454DA"/>
    <w:rsid w:val="00774823"/>
    <w:rsid w:val="007916B7"/>
    <w:rsid w:val="007A7227"/>
    <w:rsid w:val="007C1280"/>
    <w:rsid w:val="007E6B97"/>
    <w:rsid w:val="00804F10"/>
    <w:rsid w:val="008051CB"/>
    <w:rsid w:val="00837EF0"/>
    <w:rsid w:val="00847F0A"/>
    <w:rsid w:val="00854CA3"/>
    <w:rsid w:val="0085721E"/>
    <w:rsid w:val="008604DE"/>
    <w:rsid w:val="0087711F"/>
    <w:rsid w:val="008960D0"/>
    <w:rsid w:val="008A6296"/>
    <w:rsid w:val="008F38B8"/>
    <w:rsid w:val="008F3D11"/>
    <w:rsid w:val="008F4F0B"/>
    <w:rsid w:val="00921452"/>
    <w:rsid w:val="00922C7A"/>
    <w:rsid w:val="00924A5A"/>
    <w:rsid w:val="00952917"/>
    <w:rsid w:val="00990E4D"/>
    <w:rsid w:val="009B544C"/>
    <w:rsid w:val="009B5E85"/>
    <w:rsid w:val="009C42B2"/>
    <w:rsid w:val="009D7EAF"/>
    <w:rsid w:val="009E245E"/>
    <w:rsid w:val="009F3415"/>
    <w:rsid w:val="009F5833"/>
    <w:rsid w:val="00A13738"/>
    <w:rsid w:val="00A341C6"/>
    <w:rsid w:val="00A40087"/>
    <w:rsid w:val="00A40E0B"/>
    <w:rsid w:val="00A64F67"/>
    <w:rsid w:val="00AB484E"/>
    <w:rsid w:val="00AC6B16"/>
    <w:rsid w:val="00AD4CD3"/>
    <w:rsid w:val="00AE6421"/>
    <w:rsid w:val="00AE6A82"/>
    <w:rsid w:val="00B053EE"/>
    <w:rsid w:val="00B05E34"/>
    <w:rsid w:val="00B11A52"/>
    <w:rsid w:val="00B216C6"/>
    <w:rsid w:val="00B21789"/>
    <w:rsid w:val="00B33D0D"/>
    <w:rsid w:val="00B430CC"/>
    <w:rsid w:val="00B61CFB"/>
    <w:rsid w:val="00BA17A3"/>
    <w:rsid w:val="00BD0C64"/>
    <w:rsid w:val="00BD37E1"/>
    <w:rsid w:val="00BD4925"/>
    <w:rsid w:val="00BD5353"/>
    <w:rsid w:val="00BE54BB"/>
    <w:rsid w:val="00BE79D4"/>
    <w:rsid w:val="00C04C28"/>
    <w:rsid w:val="00C065A7"/>
    <w:rsid w:val="00C25149"/>
    <w:rsid w:val="00C44C6B"/>
    <w:rsid w:val="00C46C04"/>
    <w:rsid w:val="00C72D3E"/>
    <w:rsid w:val="00CA5D0B"/>
    <w:rsid w:val="00CB4533"/>
    <w:rsid w:val="00CC3DFA"/>
    <w:rsid w:val="00CD11E0"/>
    <w:rsid w:val="00CF3F38"/>
    <w:rsid w:val="00D151E1"/>
    <w:rsid w:val="00D61662"/>
    <w:rsid w:val="00D62551"/>
    <w:rsid w:val="00D62DCA"/>
    <w:rsid w:val="00D63402"/>
    <w:rsid w:val="00D73FC6"/>
    <w:rsid w:val="00D85D91"/>
    <w:rsid w:val="00D91E8D"/>
    <w:rsid w:val="00D95233"/>
    <w:rsid w:val="00DA3E31"/>
    <w:rsid w:val="00DA67DB"/>
    <w:rsid w:val="00DE2261"/>
    <w:rsid w:val="00DF2A3A"/>
    <w:rsid w:val="00DF2FFA"/>
    <w:rsid w:val="00E0526E"/>
    <w:rsid w:val="00E05F4E"/>
    <w:rsid w:val="00E17504"/>
    <w:rsid w:val="00E22B3B"/>
    <w:rsid w:val="00E26D96"/>
    <w:rsid w:val="00E325DA"/>
    <w:rsid w:val="00E33D9A"/>
    <w:rsid w:val="00E42228"/>
    <w:rsid w:val="00E62588"/>
    <w:rsid w:val="00E67661"/>
    <w:rsid w:val="00E70CCD"/>
    <w:rsid w:val="00E766EA"/>
    <w:rsid w:val="00E914AA"/>
    <w:rsid w:val="00EA33D8"/>
    <w:rsid w:val="00EA59FF"/>
    <w:rsid w:val="00EB146C"/>
    <w:rsid w:val="00EB4AE1"/>
    <w:rsid w:val="00EF7E38"/>
    <w:rsid w:val="00F064E5"/>
    <w:rsid w:val="00F17312"/>
    <w:rsid w:val="00F434D0"/>
    <w:rsid w:val="00F701C8"/>
    <w:rsid w:val="00F84BA9"/>
    <w:rsid w:val="00F86969"/>
    <w:rsid w:val="00F937F5"/>
    <w:rsid w:val="00F962DE"/>
    <w:rsid w:val="00F96ADD"/>
    <w:rsid w:val="00FB0E53"/>
    <w:rsid w:val="00FC294C"/>
    <w:rsid w:val="00FD57C8"/>
    <w:rsid w:val="00FD5AEC"/>
    <w:rsid w:val="00FD6965"/>
    <w:rsid w:val="00FE19D7"/>
    <w:rsid w:val="00FF0B8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E542"/>
  <w15:docId w15:val="{76F89A28-3E07-4590-9478-D7D4565E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240058"/>
    <w:pPr>
      <w:widowControl w:val="0"/>
      <w:autoSpaceDE w:val="0"/>
      <w:autoSpaceDN w:val="0"/>
      <w:adjustRightInd w:val="0"/>
      <w:spacing w:after="0" w:line="240" w:lineRule="auto"/>
    </w:pPr>
    <w:rPr>
      <w:rFonts w:ascii="Courier New" w:eastAsiaTheme="minorEastAsia" w:hAnsi="Courier New" w:cs="Courier New"/>
      <w:color w:val="000000"/>
      <w:sz w:val="14"/>
      <w:szCs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0FE"/>
    <w:rPr>
      <w:rFonts w:ascii="Tahoma" w:hAnsi="Tahoma" w:cs="Tahoma"/>
      <w:sz w:val="16"/>
      <w:szCs w:val="16"/>
    </w:rPr>
  </w:style>
  <w:style w:type="character" w:customStyle="1" w:styleId="BalloonTextChar">
    <w:name w:val="Balloon Text Char"/>
    <w:basedOn w:val="DefaultParagraphFont"/>
    <w:link w:val="BalloonText"/>
    <w:uiPriority w:val="99"/>
    <w:semiHidden/>
    <w:rsid w:val="001A00FE"/>
    <w:rPr>
      <w:rFonts w:ascii="Tahoma" w:eastAsiaTheme="minorEastAsia" w:hAnsi="Tahoma" w:cs="Tahoma"/>
      <w:color w:val="000000"/>
      <w:sz w:val="16"/>
      <w:szCs w:val="16"/>
    </w:rPr>
  </w:style>
  <w:style w:type="paragraph" w:customStyle="1" w:styleId="Default">
    <w:name w:val="Default"/>
    <w:rsid w:val="009F3415"/>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C04C28"/>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4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662"/>
    <w:pPr>
      <w:widowControl/>
      <w:autoSpaceDE/>
      <w:autoSpaceDN/>
      <w:adjustRightInd/>
      <w:spacing w:after="160" w:line="259" w:lineRule="auto"/>
      <w:ind w:left="720"/>
      <w:contextualSpacing/>
    </w:pPr>
    <w:rPr>
      <w:rFonts w:asciiTheme="minorHAnsi" w:eastAsiaTheme="minorHAnsi" w:hAnsiTheme="minorHAnsi" w:cstheme="minorBidi"/>
      <w:color w:val="auto"/>
      <w:sz w:val="22"/>
      <w:szCs w:val="22"/>
      <w:lang w:val="en-IN"/>
    </w:rPr>
  </w:style>
  <w:style w:type="paragraph" w:styleId="Header">
    <w:name w:val="header"/>
    <w:basedOn w:val="Normal"/>
    <w:link w:val="HeaderChar"/>
    <w:uiPriority w:val="99"/>
    <w:unhideWhenUsed/>
    <w:rsid w:val="00400D83"/>
    <w:pPr>
      <w:tabs>
        <w:tab w:val="center" w:pos="4513"/>
        <w:tab w:val="right" w:pos="9026"/>
      </w:tabs>
    </w:pPr>
  </w:style>
  <w:style w:type="character" w:customStyle="1" w:styleId="HeaderChar">
    <w:name w:val="Header Char"/>
    <w:basedOn w:val="DefaultParagraphFont"/>
    <w:link w:val="Header"/>
    <w:uiPriority w:val="99"/>
    <w:rsid w:val="00400D83"/>
    <w:rPr>
      <w:rFonts w:ascii="Courier New" w:eastAsiaTheme="minorEastAsia" w:hAnsi="Courier New" w:cs="Courier New"/>
      <w:color w:val="000000"/>
      <w:sz w:val="14"/>
      <w:szCs w:val="14"/>
    </w:rPr>
  </w:style>
  <w:style w:type="paragraph" w:styleId="Footer">
    <w:name w:val="footer"/>
    <w:basedOn w:val="Normal"/>
    <w:link w:val="FooterChar"/>
    <w:uiPriority w:val="99"/>
    <w:unhideWhenUsed/>
    <w:rsid w:val="00400D83"/>
    <w:pPr>
      <w:tabs>
        <w:tab w:val="center" w:pos="4513"/>
        <w:tab w:val="right" w:pos="9026"/>
      </w:tabs>
    </w:pPr>
  </w:style>
  <w:style w:type="character" w:customStyle="1" w:styleId="FooterChar">
    <w:name w:val="Footer Char"/>
    <w:basedOn w:val="DefaultParagraphFont"/>
    <w:link w:val="Footer"/>
    <w:uiPriority w:val="99"/>
    <w:rsid w:val="00400D83"/>
    <w:rPr>
      <w:rFonts w:ascii="Courier New" w:eastAsiaTheme="minorEastAsia" w:hAnsi="Courier New" w:cs="Courier New"/>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63CBA-CAF0-4D78-97FC-DED273F3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DHARSHAN.S</dc:creator>
  <cp:lastModifiedBy>FAZEELATH ASHRUFF</cp:lastModifiedBy>
  <cp:revision>2</cp:revision>
  <dcterms:created xsi:type="dcterms:W3CDTF">2016-07-04T15:04:00Z</dcterms:created>
  <dcterms:modified xsi:type="dcterms:W3CDTF">2016-07-04T15:04:00Z</dcterms:modified>
</cp:coreProperties>
</file>