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E53" w:rsidRPr="00B40E53" w:rsidRDefault="00B40E53" w:rsidP="00985AE3">
      <w:pPr>
        <w:jc w:val="both"/>
        <w:rPr>
          <w:rFonts w:ascii="Times New Roman" w:hAnsi="Times New Roman" w:cs="Times New Roman"/>
          <w:sz w:val="32"/>
          <w:szCs w:val="24"/>
        </w:rPr>
      </w:pPr>
      <w:r w:rsidRPr="00B40E53">
        <w:rPr>
          <w:rFonts w:ascii="Times New Roman" w:hAnsi="Times New Roman" w:cs="Times New Roman"/>
          <w:sz w:val="32"/>
          <w:szCs w:val="24"/>
        </w:rPr>
        <w:t xml:space="preserve">Original </w:t>
      </w:r>
      <w:proofErr w:type="spellStart"/>
      <w:r w:rsidRPr="00B40E53">
        <w:rPr>
          <w:rFonts w:ascii="Times New Roman" w:hAnsi="Times New Roman" w:cs="Times New Roman"/>
          <w:sz w:val="32"/>
          <w:szCs w:val="24"/>
        </w:rPr>
        <w:t>Artical</w:t>
      </w:r>
      <w:proofErr w:type="spellEnd"/>
    </w:p>
    <w:p w:rsidR="0065641C" w:rsidRPr="004C0F14" w:rsidRDefault="005E1526" w:rsidP="00985AE3">
      <w:pPr>
        <w:jc w:val="both"/>
        <w:rPr>
          <w:rFonts w:ascii="Times New Roman" w:hAnsi="Times New Roman" w:cs="Times New Roman"/>
          <w:b/>
          <w:sz w:val="32"/>
          <w:szCs w:val="24"/>
        </w:rPr>
      </w:pPr>
      <w:r w:rsidRPr="004C0F14">
        <w:rPr>
          <w:rFonts w:ascii="Times New Roman" w:hAnsi="Times New Roman" w:cs="Times New Roman"/>
          <w:b/>
          <w:sz w:val="32"/>
          <w:szCs w:val="24"/>
        </w:rPr>
        <w:t xml:space="preserve">Comparison of incisor, molar &amp; lower anterior facial divergence in </w:t>
      </w:r>
      <w:proofErr w:type="spellStart"/>
      <w:r w:rsidR="00B86DBA" w:rsidRPr="004C0F14">
        <w:rPr>
          <w:rFonts w:ascii="Times New Roman" w:hAnsi="Times New Roman" w:cs="Times New Roman"/>
          <w:b/>
          <w:sz w:val="32"/>
          <w:szCs w:val="24"/>
        </w:rPr>
        <w:t>hypodive</w:t>
      </w:r>
      <w:r w:rsidR="00985349" w:rsidRPr="004C0F14">
        <w:rPr>
          <w:rFonts w:ascii="Times New Roman" w:hAnsi="Times New Roman" w:cs="Times New Roman"/>
          <w:b/>
          <w:sz w:val="32"/>
          <w:szCs w:val="24"/>
        </w:rPr>
        <w:t>rgent</w:t>
      </w:r>
      <w:proofErr w:type="spellEnd"/>
      <w:r w:rsidR="00985349" w:rsidRPr="004C0F14">
        <w:rPr>
          <w:rFonts w:ascii="Times New Roman" w:hAnsi="Times New Roman" w:cs="Times New Roman"/>
          <w:b/>
          <w:sz w:val="32"/>
          <w:szCs w:val="24"/>
        </w:rPr>
        <w:t xml:space="preserve">, </w:t>
      </w:r>
      <w:proofErr w:type="spellStart"/>
      <w:r w:rsidR="00985349" w:rsidRPr="004C0F14">
        <w:rPr>
          <w:rFonts w:ascii="Times New Roman" w:hAnsi="Times New Roman" w:cs="Times New Roman"/>
          <w:b/>
          <w:sz w:val="32"/>
          <w:szCs w:val="24"/>
        </w:rPr>
        <w:t>hyperdivergent</w:t>
      </w:r>
      <w:proofErr w:type="spellEnd"/>
      <w:r w:rsidR="00985349" w:rsidRPr="004C0F14">
        <w:rPr>
          <w:rFonts w:ascii="Times New Roman" w:hAnsi="Times New Roman" w:cs="Times New Roman"/>
          <w:b/>
          <w:sz w:val="32"/>
          <w:szCs w:val="24"/>
        </w:rPr>
        <w:t xml:space="preserve"> and </w:t>
      </w:r>
      <w:proofErr w:type="spellStart"/>
      <w:r w:rsidR="00985349" w:rsidRPr="004C0F14">
        <w:rPr>
          <w:rFonts w:ascii="Times New Roman" w:hAnsi="Times New Roman" w:cs="Times New Roman"/>
          <w:b/>
          <w:sz w:val="32"/>
          <w:szCs w:val="24"/>
        </w:rPr>
        <w:t>normodivergent</w:t>
      </w:r>
      <w:proofErr w:type="spellEnd"/>
      <w:r w:rsidR="00B86DBA" w:rsidRPr="004C0F14">
        <w:rPr>
          <w:rFonts w:ascii="Times New Roman" w:hAnsi="Times New Roman" w:cs="Times New Roman"/>
          <w:b/>
          <w:sz w:val="32"/>
          <w:szCs w:val="24"/>
        </w:rPr>
        <w:t xml:space="preserve"> </w:t>
      </w:r>
      <w:proofErr w:type="gramStart"/>
      <w:r w:rsidR="00B86DBA" w:rsidRPr="004C0F14">
        <w:rPr>
          <w:rFonts w:ascii="Times New Roman" w:hAnsi="Times New Roman" w:cs="Times New Roman"/>
          <w:b/>
          <w:sz w:val="32"/>
          <w:szCs w:val="24"/>
        </w:rPr>
        <w:t>patient</w:t>
      </w:r>
      <w:r w:rsidR="00A32C6E" w:rsidRPr="004C0F14">
        <w:rPr>
          <w:rFonts w:ascii="Times New Roman" w:hAnsi="Times New Roman" w:cs="Times New Roman"/>
          <w:b/>
          <w:sz w:val="32"/>
          <w:szCs w:val="24"/>
        </w:rPr>
        <w:t xml:space="preserve"> </w:t>
      </w:r>
      <w:r w:rsidRPr="004C0F14">
        <w:rPr>
          <w:rFonts w:ascii="Times New Roman" w:hAnsi="Times New Roman" w:cs="Times New Roman"/>
          <w:b/>
          <w:sz w:val="32"/>
          <w:szCs w:val="24"/>
        </w:rPr>
        <w:t>:</w:t>
      </w:r>
      <w:proofErr w:type="gramEnd"/>
      <w:r w:rsidRPr="004C0F14">
        <w:rPr>
          <w:rFonts w:ascii="Times New Roman" w:hAnsi="Times New Roman" w:cs="Times New Roman"/>
          <w:b/>
          <w:sz w:val="32"/>
          <w:szCs w:val="24"/>
        </w:rPr>
        <w:t xml:space="preserve"> </w:t>
      </w:r>
      <w:r w:rsidR="00D661A4" w:rsidRPr="004C0F14">
        <w:rPr>
          <w:rFonts w:ascii="Times New Roman" w:hAnsi="Times New Roman" w:cs="Times New Roman"/>
          <w:b/>
          <w:sz w:val="32"/>
          <w:szCs w:val="24"/>
        </w:rPr>
        <w:t xml:space="preserve">A study model </w:t>
      </w:r>
      <w:r w:rsidR="00C82278" w:rsidRPr="004C0F14">
        <w:rPr>
          <w:rFonts w:ascii="Times New Roman" w:hAnsi="Times New Roman" w:cs="Times New Roman"/>
          <w:b/>
          <w:sz w:val="32"/>
          <w:szCs w:val="24"/>
        </w:rPr>
        <w:t xml:space="preserve">and </w:t>
      </w:r>
      <w:proofErr w:type="spellStart"/>
      <w:r w:rsidR="00C82278" w:rsidRPr="004C0F14">
        <w:rPr>
          <w:rFonts w:ascii="Times New Roman" w:hAnsi="Times New Roman" w:cs="Times New Roman"/>
          <w:b/>
          <w:sz w:val="32"/>
          <w:szCs w:val="24"/>
        </w:rPr>
        <w:t>cephalometric</w:t>
      </w:r>
      <w:proofErr w:type="spellEnd"/>
      <w:r w:rsidR="00C82278" w:rsidRPr="004C0F14">
        <w:rPr>
          <w:rFonts w:ascii="Times New Roman" w:hAnsi="Times New Roman" w:cs="Times New Roman"/>
          <w:b/>
          <w:sz w:val="32"/>
          <w:szCs w:val="24"/>
        </w:rPr>
        <w:t xml:space="preserve"> study</w:t>
      </w:r>
    </w:p>
    <w:p w:rsidR="00F15619" w:rsidRPr="00F467C6" w:rsidRDefault="00F15619" w:rsidP="00F15619">
      <w:pPr>
        <w:autoSpaceDE w:val="0"/>
        <w:autoSpaceDN w:val="0"/>
        <w:adjustRightInd w:val="0"/>
        <w:spacing w:after="0" w:line="240" w:lineRule="auto"/>
        <w:rPr>
          <w:rFonts w:ascii="Times New Roman" w:hAnsi="Times New Roman" w:cs="Times New Roman"/>
          <w:color w:val="231F20"/>
          <w:sz w:val="24"/>
          <w:szCs w:val="24"/>
          <w:vertAlign w:val="superscript"/>
        </w:rPr>
      </w:pPr>
      <w:proofErr w:type="spellStart"/>
      <w:r w:rsidRPr="00C33D99">
        <w:rPr>
          <w:rFonts w:ascii="Times New Roman" w:hAnsi="Times New Roman" w:cs="Times New Roman"/>
          <w:color w:val="231F20"/>
          <w:sz w:val="24"/>
          <w:szCs w:val="24"/>
        </w:rPr>
        <w:t>Jignesh</w:t>
      </w:r>
      <w:proofErr w:type="spellEnd"/>
      <w:r w:rsidRPr="00C33D99">
        <w:rPr>
          <w:rFonts w:ascii="Times New Roman" w:hAnsi="Times New Roman" w:cs="Times New Roman"/>
          <w:color w:val="231F20"/>
          <w:sz w:val="24"/>
          <w:szCs w:val="24"/>
        </w:rPr>
        <w:t xml:space="preserve"> </w:t>
      </w:r>
      <w:proofErr w:type="spellStart"/>
      <w:r w:rsidRPr="00C33D99">
        <w:rPr>
          <w:rFonts w:ascii="Times New Roman" w:hAnsi="Times New Roman" w:cs="Times New Roman"/>
          <w:color w:val="231F20"/>
          <w:sz w:val="24"/>
          <w:szCs w:val="24"/>
        </w:rPr>
        <w:t>Keshubhai</w:t>
      </w:r>
      <w:proofErr w:type="spellEnd"/>
      <w:r w:rsidRPr="00C33D99">
        <w:rPr>
          <w:rFonts w:ascii="Times New Roman" w:hAnsi="Times New Roman" w:cs="Times New Roman"/>
          <w:color w:val="231F20"/>
          <w:sz w:val="24"/>
          <w:szCs w:val="24"/>
        </w:rPr>
        <w:t xml:space="preserve"> </w:t>
      </w:r>
      <w:proofErr w:type="spellStart"/>
      <w:r w:rsidRPr="00C33D99">
        <w:rPr>
          <w:rFonts w:ascii="Times New Roman" w:hAnsi="Times New Roman" w:cs="Times New Roman"/>
          <w:color w:val="231F20"/>
          <w:sz w:val="24"/>
          <w:szCs w:val="24"/>
        </w:rPr>
        <w:t>Kakadiya</w:t>
      </w:r>
      <w:proofErr w:type="spellEnd"/>
      <w:r w:rsidRPr="00C33D99">
        <w:rPr>
          <w:rFonts w:ascii="Times New Roman" w:hAnsi="Times New Roman" w:cs="Times New Roman"/>
          <w:color w:val="231F20"/>
          <w:sz w:val="24"/>
          <w:szCs w:val="24"/>
        </w:rPr>
        <w:t xml:space="preserve"> (Corresponding </w:t>
      </w:r>
      <w:proofErr w:type="spellStart"/>
      <w:r w:rsidRPr="00C33D99">
        <w:rPr>
          <w:rFonts w:ascii="Times New Roman" w:hAnsi="Times New Roman" w:cs="Times New Roman"/>
          <w:color w:val="231F20"/>
          <w:sz w:val="24"/>
          <w:szCs w:val="24"/>
        </w:rPr>
        <w:t>Authour</w:t>
      </w:r>
      <w:proofErr w:type="spellEnd"/>
      <w:proofErr w:type="gramStart"/>
      <w:r w:rsidRPr="00C33D99">
        <w:rPr>
          <w:rFonts w:ascii="Times New Roman" w:hAnsi="Times New Roman" w:cs="Times New Roman"/>
          <w:color w:val="231F20"/>
          <w:sz w:val="24"/>
          <w:szCs w:val="24"/>
        </w:rPr>
        <w:t>)</w:t>
      </w:r>
      <w:r w:rsidR="00A04482" w:rsidRPr="00C33D99">
        <w:rPr>
          <w:rFonts w:ascii="Times New Roman" w:hAnsi="Times New Roman" w:cs="Times New Roman"/>
          <w:color w:val="231F20"/>
          <w:sz w:val="24"/>
          <w:szCs w:val="24"/>
          <w:vertAlign w:val="superscript"/>
        </w:rPr>
        <w:t>1</w:t>
      </w:r>
      <w:proofErr w:type="gramEnd"/>
      <w:r w:rsidRPr="00C33D99">
        <w:rPr>
          <w:rFonts w:ascii="Times New Roman" w:hAnsi="Times New Roman" w:cs="Times New Roman"/>
          <w:color w:val="231F20"/>
          <w:sz w:val="24"/>
          <w:szCs w:val="24"/>
        </w:rPr>
        <w:t>,</w:t>
      </w:r>
      <w:r w:rsidR="00C0373B">
        <w:rPr>
          <w:rFonts w:ascii="Times New Roman" w:hAnsi="Times New Roman" w:cs="Times New Roman"/>
          <w:color w:val="231F20"/>
          <w:sz w:val="24"/>
          <w:szCs w:val="24"/>
        </w:rPr>
        <w:t xml:space="preserve"> </w:t>
      </w:r>
      <w:r w:rsidR="009C4E8E">
        <w:rPr>
          <w:rFonts w:ascii="Times New Roman" w:hAnsi="Times New Roman" w:cs="Times New Roman"/>
          <w:color w:val="231F20"/>
          <w:sz w:val="24"/>
          <w:szCs w:val="24"/>
        </w:rPr>
        <w:t xml:space="preserve"> </w:t>
      </w:r>
      <w:proofErr w:type="spellStart"/>
      <w:r w:rsidR="009C4E8E">
        <w:rPr>
          <w:rFonts w:ascii="Times New Roman" w:hAnsi="Times New Roman" w:cs="Times New Roman"/>
          <w:color w:val="231F20"/>
          <w:sz w:val="24"/>
          <w:szCs w:val="24"/>
        </w:rPr>
        <w:t>Prabhuraj</w:t>
      </w:r>
      <w:proofErr w:type="spellEnd"/>
      <w:r w:rsidR="009C4E8E">
        <w:rPr>
          <w:rFonts w:ascii="Times New Roman" w:hAnsi="Times New Roman" w:cs="Times New Roman"/>
          <w:color w:val="231F20"/>
          <w:sz w:val="24"/>
          <w:szCs w:val="24"/>
        </w:rPr>
        <w:t xml:space="preserve"> Kambalyal</w:t>
      </w:r>
      <w:r w:rsidR="00A04482" w:rsidRPr="00C33D99">
        <w:rPr>
          <w:rFonts w:ascii="Times New Roman" w:hAnsi="Times New Roman" w:cs="Times New Roman"/>
          <w:color w:val="231F20"/>
          <w:sz w:val="24"/>
          <w:szCs w:val="24"/>
          <w:vertAlign w:val="superscript"/>
        </w:rPr>
        <w:t>2</w:t>
      </w:r>
      <w:r w:rsidR="00C0373B">
        <w:rPr>
          <w:rFonts w:ascii="Times New Roman" w:hAnsi="Times New Roman" w:cs="Times New Roman"/>
          <w:color w:val="231F20"/>
          <w:sz w:val="24"/>
          <w:szCs w:val="24"/>
        </w:rPr>
        <w:t xml:space="preserve">, </w:t>
      </w:r>
      <w:proofErr w:type="spellStart"/>
      <w:r w:rsidRPr="00C33D99">
        <w:rPr>
          <w:rFonts w:ascii="Times New Roman" w:hAnsi="Times New Roman" w:cs="Times New Roman"/>
          <w:color w:val="231F20"/>
          <w:sz w:val="24"/>
          <w:szCs w:val="24"/>
        </w:rPr>
        <w:t>Mukesh</w:t>
      </w:r>
      <w:proofErr w:type="spellEnd"/>
      <w:r w:rsidRPr="00C33D99">
        <w:rPr>
          <w:rFonts w:ascii="Times New Roman" w:hAnsi="Times New Roman" w:cs="Times New Roman"/>
          <w:color w:val="231F20"/>
          <w:sz w:val="24"/>
          <w:szCs w:val="24"/>
        </w:rPr>
        <w:t xml:space="preserve"> single</w:t>
      </w:r>
      <w:r w:rsidR="00A04482" w:rsidRPr="00C33D99">
        <w:rPr>
          <w:rFonts w:ascii="Times New Roman" w:hAnsi="Times New Roman" w:cs="Times New Roman"/>
          <w:color w:val="231F20"/>
          <w:sz w:val="24"/>
          <w:szCs w:val="24"/>
          <w:vertAlign w:val="superscript"/>
        </w:rPr>
        <w:t>3</w:t>
      </w:r>
      <w:r w:rsidRPr="00C33D99">
        <w:rPr>
          <w:rFonts w:ascii="Times New Roman" w:hAnsi="Times New Roman" w:cs="Times New Roman"/>
          <w:color w:val="231F20"/>
          <w:sz w:val="24"/>
          <w:szCs w:val="24"/>
        </w:rPr>
        <w:t xml:space="preserve">, </w:t>
      </w:r>
      <w:proofErr w:type="spellStart"/>
      <w:r w:rsidR="00F467C6" w:rsidRPr="00C33D99">
        <w:rPr>
          <w:rFonts w:ascii="Times New Roman" w:hAnsi="Times New Roman" w:cs="Times New Roman"/>
          <w:color w:val="231F20"/>
          <w:sz w:val="24"/>
          <w:szCs w:val="24"/>
        </w:rPr>
        <w:t>Jyoti</w:t>
      </w:r>
      <w:proofErr w:type="spellEnd"/>
      <w:r w:rsidR="00F467C6" w:rsidRPr="00C33D99">
        <w:rPr>
          <w:rFonts w:ascii="Times New Roman" w:hAnsi="Times New Roman" w:cs="Times New Roman"/>
          <w:color w:val="231F20"/>
          <w:sz w:val="24"/>
          <w:szCs w:val="24"/>
        </w:rPr>
        <w:t xml:space="preserve"> Jingar</w:t>
      </w:r>
      <w:r w:rsidR="00F467C6">
        <w:rPr>
          <w:rFonts w:ascii="Times New Roman" w:hAnsi="Times New Roman" w:cs="Times New Roman"/>
          <w:color w:val="231F20"/>
          <w:sz w:val="24"/>
          <w:szCs w:val="24"/>
          <w:vertAlign w:val="superscript"/>
        </w:rPr>
        <w:t>4</w:t>
      </w:r>
      <w:r w:rsidRPr="00C33D99">
        <w:rPr>
          <w:rFonts w:ascii="Times New Roman" w:hAnsi="Times New Roman" w:cs="Times New Roman"/>
          <w:color w:val="231F20"/>
          <w:sz w:val="24"/>
          <w:szCs w:val="24"/>
        </w:rPr>
        <w:t xml:space="preserve">, </w:t>
      </w:r>
      <w:proofErr w:type="spellStart"/>
      <w:r w:rsidR="00F467C6">
        <w:rPr>
          <w:rFonts w:ascii="Times New Roman" w:hAnsi="Times New Roman" w:cs="Times New Roman"/>
          <w:color w:val="231F20"/>
          <w:sz w:val="24"/>
          <w:szCs w:val="24"/>
        </w:rPr>
        <w:t>Pradeep</w:t>
      </w:r>
      <w:proofErr w:type="spellEnd"/>
      <w:r w:rsidR="00F467C6">
        <w:rPr>
          <w:rFonts w:ascii="Times New Roman" w:hAnsi="Times New Roman" w:cs="Times New Roman"/>
          <w:color w:val="231F20"/>
          <w:sz w:val="24"/>
          <w:szCs w:val="24"/>
        </w:rPr>
        <w:t xml:space="preserve"> Vishnoi</w:t>
      </w:r>
      <w:r w:rsidR="00F467C6">
        <w:rPr>
          <w:rFonts w:ascii="Times New Roman" w:hAnsi="Times New Roman" w:cs="Times New Roman"/>
          <w:color w:val="231F20"/>
          <w:sz w:val="24"/>
          <w:szCs w:val="24"/>
          <w:vertAlign w:val="superscript"/>
        </w:rPr>
        <w:t>5</w:t>
      </w:r>
    </w:p>
    <w:p w:rsidR="00F15619" w:rsidRPr="00C33D99" w:rsidRDefault="00F15619" w:rsidP="00F15619">
      <w:pPr>
        <w:autoSpaceDE w:val="0"/>
        <w:autoSpaceDN w:val="0"/>
        <w:adjustRightInd w:val="0"/>
        <w:spacing w:after="0" w:line="240" w:lineRule="auto"/>
        <w:rPr>
          <w:rFonts w:ascii="Times New Roman" w:hAnsi="Times New Roman" w:cs="Times New Roman"/>
          <w:color w:val="231F20"/>
          <w:sz w:val="24"/>
          <w:szCs w:val="24"/>
        </w:rPr>
      </w:pPr>
    </w:p>
    <w:p w:rsidR="0065641C" w:rsidRPr="00C33D99" w:rsidRDefault="00A04482" w:rsidP="00A04482">
      <w:pPr>
        <w:autoSpaceDE w:val="0"/>
        <w:autoSpaceDN w:val="0"/>
        <w:adjustRightInd w:val="0"/>
        <w:spacing w:after="0" w:line="240" w:lineRule="auto"/>
        <w:rPr>
          <w:rFonts w:ascii="Times New Roman" w:hAnsi="Times New Roman" w:cs="Times New Roman"/>
          <w:color w:val="231F20"/>
          <w:sz w:val="24"/>
          <w:szCs w:val="24"/>
        </w:rPr>
      </w:pPr>
      <w:r w:rsidRPr="00C33D99">
        <w:rPr>
          <w:rFonts w:ascii="Times New Roman" w:hAnsi="Times New Roman" w:cs="Times New Roman"/>
          <w:color w:val="231F20"/>
          <w:sz w:val="24"/>
          <w:szCs w:val="24"/>
        </w:rPr>
        <w:t>Post graduate student</w:t>
      </w:r>
      <w:r w:rsidRPr="00C33D99">
        <w:rPr>
          <w:rFonts w:ascii="Times New Roman" w:hAnsi="Times New Roman" w:cs="Times New Roman"/>
          <w:color w:val="231F20"/>
          <w:sz w:val="24"/>
          <w:szCs w:val="24"/>
          <w:vertAlign w:val="superscript"/>
        </w:rPr>
        <w:t>1</w:t>
      </w:r>
      <w:proofErr w:type="gramStart"/>
      <w:r w:rsidRPr="00C33D99">
        <w:rPr>
          <w:rFonts w:ascii="Times New Roman" w:hAnsi="Times New Roman" w:cs="Times New Roman"/>
          <w:color w:val="231F20"/>
          <w:sz w:val="24"/>
          <w:szCs w:val="24"/>
          <w:vertAlign w:val="superscript"/>
        </w:rPr>
        <w:t>,3,4,5</w:t>
      </w:r>
      <w:proofErr w:type="gramEnd"/>
      <w:r w:rsidRPr="00C33D99">
        <w:rPr>
          <w:rFonts w:ascii="Times New Roman" w:hAnsi="Times New Roman" w:cs="Times New Roman"/>
          <w:color w:val="231F20"/>
          <w:sz w:val="24"/>
          <w:szCs w:val="24"/>
        </w:rPr>
        <w:t xml:space="preserve">, </w:t>
      </w:r>
      <w:r w:rsidR="00F15619" w:rsidRPr="00C33D99">
        <w:rPr>
          <w:rFonts w:ascii="Times New Roman" w:hAnsi="Times New Roman" w:cs="Times New Roman"/>
          <w:color w:val="231F20"/>
          <w:sz w:val="24"/>
          <w:szCs w:val="24"/>
        </w:rPr>
        <w:t>Department of orthodont</w:t>
      </w:r>
      <w:bookmarkStart w:id="0" w:name="_GoBack"/>
      <w:bookmarkEnd w:id="0"/>
      <w:r w:rsidR="00F15619" w:rsidRPr="00C33D99">
        <w:rPr>
          <w:rFonts w:ascii="Times New Roman" w:hAnsi="Times New Roman" w:cs="Times New Roman"/>
          <w:color w:val="231F20"/>
          <w:sz w:val="24"/>
          <w:szCs w:val="24"/>
        </w:rPr>
        <w:t xml:space="preserve">ics and </w:t>
      </w:r>
      <w:proofErr w:type="spellStart"/>
      <w:r w:rsidR="00F15619" w:rsidRPr="00C33D99">
        <w:rPr>
          <w:rFonts w:ascii="Times New Roman" w:hAnsi="Times New Roman" w:cs="Times New Roman"/>
          <w:color w:val="231F20"/>
          <w:sz w:val="24"/>
          <w:szCs w:val="24"/>
        </w:rPr>
        <w:t>Dentofacial</w:t>
      </w:r>
      <w:proofErr w:type="spellEnd"/>
      <w:r w:rsidR="00F15619" w:rsidRPr="00C33D99">
        <w:rPr>
          <w:rFonts w:ascii="Times New Roman" w:hAnsi="Times New Roman" w:cs="Times New Roman"/>
          <w:color w:val="231F20"/>
          <w:sz w:val="24"/>
          <w:szCs w:val="24"/>
        </w:rPr>
        <w:t xml:space="preserve"> Orthopedics,</w:t>
      </w:r>
      <w:r w:rsidRPr="00C33D99">
        <w:rPr>
          <w:rFonts w:ascii="Times New Roman" w:hAnsi="Times New Roman" w:cs="Times New Roman"/>
          <w:color w:val="231F20"/>
          <w:sz w:val="24"/>
          <w:szCs w:val="24"/>
        </w:rPr>
        <w:t xml:space="preserve"> </w:t>
      </w:r>
      <w:proofErr w:type="spellStart"/>
      <w:r w:rsidR="00F15619" w:rsidRPr="00C33D99">
        <w:rPr>
          <w:rFonts w:ascii="Times New Roman" w:hAnsi="Times New Roman" w:cs="Times New Roman"/>
          <w:color w:val="231F20"/>
          <w:sz w:val="24"/>
          <w:szCs w:val="24"/>
        </w:rPr>
        <w:t>Darshan</w:t>
      </w:r>
      <w:proofErr w:type="spellEnd"/>
      <w:r w:rsidR="00F15619" w:rsidRPr="00C33D99">
        <w:rPr>
          <w:rFonts w:ascii="Times New Roman" w:hAnsi="Times New Roman" w:cs="Times New Roman"/>
          <w:color w:val="231F20"/>
          <w:sz w:val="24"/>
          <w:szCs w:val="24"/>
        </w:rPr>
        <w:t xml:space="preserve"> Dental College and Hospital, Udaipur.</w:t>
      </w:r>
    </w:p>
    <w:p w:rsidR="00F15619" w:rsidRPr="00C33D99" w:rsidRDefault="00A04482" w:rsidP="00A04482">
      <w:pPr>
        <w:autoSpaceDE w:val="0"/>
        <w:autoSpaceDN w:val="0"/>
        <w:adjustRightInd w:val="0"/>
        <w:spacing w:after="0" w:line="240" w:lineRule="auto"/>
        <w:rPr>
          <w:rFonts w:ascii="Times New Roman" w:hAnsi="Times New Roman" w:cs="Times New Roman"/>
          <w:color w:val="231F20"/>
          <w:sz w:val="24"/>
          <w:szCs w:val="24"/>
        </w:rPr>
      </w:pPr>
      <w:proofErr w:type="gramStart"/>
      <w:r w:rsidRPr="00C33D99">
        <w:rPr>
          <w:rFonts w:ascii="Times New Roman" w:hAnsi="Times New Roman" w:cs="Times New Roman"/>
          <w:color w:val="231F20"/>
          <w:sz w:val="24"/>
          <w:szCs w:val="24"/>
        </w:rPr>
        <w:t>Professor and Head</w:t>
      </w:r>
      <w:r w:rsidRPr="00C33D99">
        <w:rPr>
          <w:rFonts w:ascii="Times New Roman" w:hAnsi="Times New Roman" w:cs="Times New Roman"/>
          <w:color w:val="231F20"/>
          <w:sz w:val="24"/>
          <w:szCs w:val="24"/>
          <w:vertAlign w:val="superscript"/>
        </w:rPr>
        <w:t>2</w:t>
      </w:r>
      <w:r w:rsidRPr="00C33D99">
        <w:rPr>
          <w:rFonts w:ascii="Times New Roman" w:hAnsi="Times New Roman" w:cs="Times New Roman"/>
          <w:color w:val="231F20"/>
          <w:sz w:val="24"/>
          <w:szCs w:val="24"/>
        </w:rPr>
        <w:t xml:space="preserve">, </w:t>
      </w:r>
      <w:r w:rsidR="00F15619" w:rsidRPr="00C33D99">
        <w:rPr>
          <w:rFonts w:ascii="Times New Roman" w:hAnsi="Times New Roman" w:cs="Times New Roman"/>
          <w:color w:val="231F20"/>
          <w:sz w:val="24"/>
          <w:szCs w:val="24"/>
        </w:rPr>
        <w:t xml:space="preserve">Department of orthodontics and </w:t>
      </w:r>
      <w:proofErr w:type="spellStart"/>
      <w:r w:rsidR="00F15619" w:rsidRPr="00C33D99">
        <w:rPr>
          <w:rFonts w:ascii="Times New Roman" w:hAnsi="Times New Roman" w:cs="Times New Roman"/>
          <w:color w:val="231F20"/>
          <w:sz w:val="24"/>
          <w:szCs w:val="24"/>
        </w:rPr>
        <w:t>Dentofacial</w:t>
      </w:r>
      <w:proofErr w:type="spellEnd"/>
      <w:r w:rsidR="00F15619" w:rsidRPr="00C33D99">
        <w:rPr>
          <w:rFonts w:ascii="Times New Roman" w:hAnsi="Times New Roman" w:cs="Times New Roman"/>
          <w:color w:val="231F20"/>
          <w:sz w:val="24"/>
          <w:szCs w:val="24"/>
        </w:rPr>
        <w:t xml:space="preserve"> Orthopedics,</w:t>
      </w:r>
      <w:r w:rsidRPr="00C33D99">
        <w:rPr>
          <w:rFonts w:ascii="Times New Roman" w:hAnsi="Times New Roman" w:cs="Times New Roman"/>
          <w:color w:val="231F20"/>
          <w:sz w:val="24"/>
          <w:szCs w:val="24"/>
        </w:rPr>
        <w:t xml:space="preserve"> </w:t>
      </w:r>
      <w:proofErr w:type="spellStart"/>
      <w:r w:rsidR="00F15619" w:rsidRPr="00C33D99">
        <w:rPr>
          <w:rFonts w:ascii="Times New Roman" w:hAnsi="Times New Roman" w:cs="Times New Roman"/>
          <w:color w:val="231F20"/>
          <w:sz w:val="24"/>
          <w:szCs w:val="24"/>
        </w:rPr>
        <w:t>Darshan</w:t>
      </w:r>
      <w:proofErr w:type="spellEnd"/>
      <w:r w:rsidR="00F15619" w:rsidRPr="00C33D99">
        <w:rPr>
          <w:rFonts w:ascii="Times New Roman" w:hAnsi="Times New Roman" w:cs="Times New Roman"/>
          <w:color w:val="231F20"/>
          <w:sz w:val="24"/>
          <w:szCs w:val="24"/>
        </w:rPr>
        <w:t xml:space="preserve"> Dental College and Hospital, Udaipur.</w:t>
      </w:r>
      <w:proofErr w:type="gramEnd"/>
    </w:p>
    <w:p w:rsidR="00F15619" w:rsidRDefault="00F15619" w:rsidP="00F15619">
      <w:pPr>
        <w:autoSpaceDE w:val="0"/>
        <w:autoSpaceDN w:val="0"/>
        <w:adjustRightInd w:val="0"/>
        <w:spacing w:after="0" w:line="240" w:lineRule="auto"/>
        <w:rPr>
          <w:rFonts w:ascii="TT122CO00" w:hAnsi="TT122CO00" w:cs="TT122CO00"/>
          <w:color w:val="231F20"/>
          <w:sz w:val="20"/>
          <w:szCs w:val="20"/>
        </w:rPr>
      </w:pPr>
    </w:p>
    <w:p w:rsidR="007D2A0A" w:rsidRDefault="007D2A0A" w:rsidP="00985AE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ABSTRACT</w:t>
      </w:r>
    </w:p>
    <w:p w:rsidR="0065641C" w:rsidRDefault="0065641C" w:rsidP="00985AE3">
      <w:pPr>
        <w:autoSpaceDE w:val="0"/>
        <w:autoSpaceDN w:val="0"/>
        <w:adjustRightInd w:val="0"/>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rPr>
        <w:t xml:space="preserve">Background: </w:t>
      </w:r>
      <w:r>
        <w:rPr>
          <w:rFonts w:ascii="Times New Roman" w:hAnsi="Times New Roman" w:cs="Times New Roman"/>
          <w:sz w:val="24"/>
          <w:szCs w:val="24"/>
        </w:rPr>
        <w:t>There is a strong genetic influence in determination of tooth dimensions bearing an influence on the facial dimension.</w:t>
      </w:r>
    </w:p>
    <w:p w:rsidR="007D2A0A" w:rsidRDefault="00CD5ED7" w:rsidP="00985A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Aims and Objective:-</w:t>
      </w:r>
      <w:r w:rsidR="007D2A0A">
        <w:rPr>
          <w:rFonts w:ascii="Times New Roman" w:hAnsi="Times New Roman" w:cs="Times New Roman"/>
          <w:sz w:val="24"/>
          <w:szCs w:val="24"/>
        </w:rPr>
        <w:t>To determine a correlation between clinical crown height of upper and lower permanent incisor (11 and 41), molar (16 and 46) and lower facial height</w:t>
      </w:r>
      <w:r w:rsidR="00B86DBA">
        <w:rPr>
          <w:rFonts w:ascii="Times New Roman" w:hAnsi="Times New Roman" w:cs="Times New Roman"/>
          <w:sz w:val="24"/>
          <w:szCs w:val="24"/>
        </w:rPr>
        <w:t xml:space="preserve"> clinically and </w:t>
      </w:r>
      <w:proofErr w:type="spellStart"/>
      <w:r w:rsidR="00B86DBA">
        <w:rPr>
          <w:rFonts w:ascii="Times New Roman" w:hAnsi="Times New Roman" w:cs="Times New Roman"/>
          <w:sz w:val="24"/>
          <w:szCs w:val="24"/>
        </w:rPr>
        <w:t>cephalometrically</w:t>
      </w:r>
      <w:proofErr w:type="spellEnd"/>
      <w:r w:rsidR="007D2A0A">
        <w:rPr>
          <w:rFonts w:ascii="Times New Roman" w:hAnsi="Times New Roman" w:cs="Times New Roman"/>
          <w:sz w:val="24"/>
          <w:szCs w:val="24"/>
        </w:rPr>
        <w:t xml:space="preserve"> in males and females.</w:t>
      </w:r>
    </w:p>
    <w:p w:rsidR="007D2A0A" w:rsidRDefault="007D2A0A" w:rsidP="00985A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Materials &amp; M</w:t>
      </w:r>
      <w:r w:rsidRPr="007D2A0A">
        <w:rPr>
          <w:rFonts w:ascii="Times New Roman" w:hAnsi="Times New Roman" w:cs="Times New Roman"/>
          <w:b/>
          <w:sz w:val="24"/>
          <w:szCs w:val="24"/>
        </w:rPr>
        <w:t>ethods</w:t>
      </w:r>
      <w:r w:rsidR="00CD5ED7">
        <w:rPr>
          <w:rFonts w:ascii="Times New Roman" w:hAnsi="Times New Roman" w:cs="Times New Roman"/>
          <w:b/>
          <w:sz w:val="24"/>
          <w:szCs w:val="24"/>
        </w:rPr>
        <w:t>:-</w:t>
      </w:r>
      <w:r w:rsidR="00985349">
        <w:rPr>
          <w:rFonts w:ascii="Times New Roman" w:hAnsi="Times New Roman" w:cs="Times New Roman"/>
          <w:sz w:val="24"/>
          <w:szCs w:val="24"/>
        </w:rPr>
        <w:t>A</w:t>
      </w:r>
      <w:r>
        <w:rPr>
          <w:rFonts w:ascii="Times New Roman" w:hAnsi="Times New Roman" w:cs="Times New Roman"/>
          <w:sz w:val="24"/>
          <w:szCs w:val="24"/>
        </w:rPr>
        <w:t xml:space="preserve"> sample of </w:t>
      </w:r>
      <w:r w:rsidR="003E3147">
        <w:rPr>
          <w:rFonts w:ascii="Times New Roman" w:hAnsi="Times New Roman" w:cs="Times New Roman"/>
          <w:sz w:val="24"/>
          <w:szCs w:val="24"/>
        </w:rPr>
        <w:t>18</w:t>
      </w:r>
      <w:r w:rsidR="003E3147" w:rsidRPr="00533A80">
        <w:rPr>
          <w:rFonts w:ascii="Times New Roman" w:hAnsi="Times New Roman" w:cs="Times New Roman"/>
          <w:sz w:val="24"/>
          <w:szCs w:val="24"/>
        </w:rPr>
        <w:t xml:space="preserve">0 patients were </w:t>
      </w:r>
      <w:r w:rsidR="004B6327">
        <w:rPr>
          <w:rFonts w:ascii="Times New Roman" w:hAnsi="Times New Roman" w:cs="Times New Roman"/>
          <w:sz w:val="24"/>
          <w:szCs w:val="24"/>
        </w:rPr>
        <w:t xml:space="preserve">(90 males and 90 </w:t>
      </w:r>
      <w:r w:rsidR="004B6327" w:rsidRPr="00533A80">
        <w:rPr>
          <w:rFonts w:ascii="Times New Roman" w:hAnsi="Times New Roman" w:cs="Times New Roman"/>
          <w:sz w:val="24"/>
          <w:szCs w:val="24"/>
        </w:rPr>
        <w:t>females</w:t>
      </w:r>
      <w:proofErr w:type="gramStart"/>
      <w:r w:rsidR="004B6327">
        <w:rPr>
          <w:rFonts w:ascii="Times New Roman" w:hAnsi="Times New Roman" w:cs="Times New Roman"/>
          <w:sz w:val="24"/>
          <w:szCs w:val="24"/>
        </w:rPr>
        <w:t>)</w:t>
      </w:r>
      <w:r w:rsidR="003E3147" w:rsidRPr="00533A80">
        <w:rPr>
          <w:rFonts w:ascii="Times New Roman" w:hAnsi="Times New Roman" w:cs="Times New Roman"/>
          <w:sz w:val="24"/>
          <w:szCs w:val="24"/>
        </w:rPr>
        <w:t>included</w:t>
      </w:r>
      <w:proofErr w:type="gramEnd"/>
      <w:r w:rsidR="003E3147" w:rsidRPr="00533A80">
        <w:rPr>
          <w:rFonts w:ascii="Times New Roman" w:hAnsi="Times New Roman" w:cs="Times New Roman"/>
          <w:sz w:val="24"/>
          <w:szCs w:val="24"/>
        </w:rPr>
        <w:t xml:space="preserve"> in our study</w:t>
      </w:r>
      <w:r w:rsidR="004B6327">
        <w:rPr>
          <w:rFonts w:ascii="Times New Roman" w:hAnsi="Times New Roman" w:cs="Times New Roman"/>
          <w:sz w:val="24"/>
          <w:szCs w:val="24"/>
        </w:rPr>
        <w:t>,</w:t>
      </w:r>
      <w:r w:rsidR="003E3147" w:rsidRPr="00533A80">
        <w:rPr>
          <w:rFonts w:ascii="Times New Roman" w:hAnsi="Times New Roman" w:cs="Times New Roman"/>
          <w:sz w:val="24"/>
          <w:szCs w:val="24"/>
        </w:rPr>
        <w:t xml:space="preserve"> </w:t>
      </w:r>
      <w:r w:rsidR="004D19FC">
        <w:rPr>
          <w:rFonts w:ascii="Times New Roman" w:hAnsi="Times New Roman" w:cs="Times New Roman"/>
          <w:sz w:val="24"/>
          <w:szCs w:val="24"/>
        </w:rPr>
        <w:t>(60-hypodivergent, 60-</w:t>
      </w:r>
      <w:r w:rsidR="003E3147">
        <w:rPr>
          <w:rFonts w:ascii="Times New Roman" w:hAnsi="Times New Roman" w:cs="Times New Roman"/>
          <w:sz w:val="24"/>
          <w:szCs w:val="24"/>
        </w:rPr>
        <w:t>normodivrgent and 6</w:t>
      </w:r>
      <w:r w:rsidR="004D19FC">
        <w:rPr>
          <w:rFonts w:ascii="Times New Roman" w:hAnsi="Times New Roman" w:cs="Times New Roman"/>
          <w:sz w:val="24"/>
          <w:szCs w:val="24"/>
        </w:rPr>
        <w:t>0-</w:t>
      </w:r>
      <w:r w:rsidR="003E3147" w:rsidRPr="00533A80">
        <w:rPr>
          <w:rFonts w:ascii="Times New Roman" w:hAnsi="Times New Roman" w:cs="Times New Roman"/>
          <w:sz w:val="24"/>
          <w:szCs w:val="24"/>
        </w:rPr>
        <w:t>hyperdivergent</w:t>
      </w:r>
      <w:r w:rsidR="003E3147">
        <w:rPr>
          <w:rFonts w:ascii="Times New Roman" w:hAnsi="Times New Roman" w:cs="Times New Roman"/>
          <w:sz w:val="24"/>
          <w:szCs w:val="24"/>
        </w:rPr>
        <w:t>)</w:t>
      </w:r>
      <w:r w:rsidR="003E3147" w:rsidRPr="00533A80">
        <w:rPr>
          <w:rFonts w:ascii="Times New Roman" w:hAnsi="Times New Roman" w:cs="Times New Roman"/>
          <w:sz w:val="24"/>
          <w:szCs w:val="24"/>
        </w:rPr>
        <w:t xml:space="preserve"> </w:t>
      </w:r>
      <w:r w:rsidRPr="007D2A0A">
        <w:rPr>
          <w:rFonts w:ascii="Times New Roman" w:hAnsi="Times New Roman" w:cs="Times New Roman"/>
          <w:sz w:val="24"/>
          <w:szCs w:val="24"/>
        </w:rPr>
        <w:t xml:space="preserve">with an </w:t>
      </w:r>
      <w:r>
        <w:rPr>
          <w:rFonts w:ascii="Times New Roman" w:hAnsi="Times New Roman" w:cs="Times New Roman"/>
          <w:sz w:val="24"/>
          <w:szCs w:val="24"/>
        </w:rPr>
        <w:t>age range of 17-25 years. Three</w:t>
      </w:r>
      <w:r w:rsidR="00110AC2">
        <w:rPr>
          <w:rFonts w:ascii="Times New Roman" w:hAnsi="Times New Roman" w:cs="Times New Roman"/>
          <w:sz w:val="24"/>
          <w:szCs w:val="24"/>
        </w:rPr>
        <w:t xml:space="preserve"> </w:t>
      </w:r>
      <w:r w:rsidRPr="007D2A0A">
        <w:rPr>
          <w:rFonts w:ascii="Times New Roman" w:hAnsi="Times New Roman" w:cs="Times New Roman"/>
          <w:sz w:val="24"/>
          <w:szCs w:val="24"/>
        </w:rPr>
        <w:t xml:space="preserve">anthropometric measurements were considered. The lower facial height from </w:t>
      </w:r>
      <w:proofErr w:type="spellStart"/>
      <w:proofErr w:type="gramStart"/>
      <w:r w:rsidRPr="007D2A0A">
        <w:rPr>
          <w:rFonts w:ascii="Times New Roman" w:hAnsi="Times New Roman" w:cs="Times New Roman"/>
          <w:sz w:val="24"/>
          <w:szCs w:val="24"/>
        </w:rPr>
        <w:t>subnasale</w:t>
      </w:r>
      <w:proofErr w:type="spellEnd"/>
      <w:r w:rsidR="004A4F5B">
        <w:rPr>
          <w:rFonts w:ascii="Times New Roman" w:hAnsi="Times New Roman" w:cs="Times New Roman"/>
          <w:sz w:val="24"/>
          <w:szCs w:val="24"/>
        </w:rPr>
        <w:t>(</w:t>
      </w:r>
      <w:proofErr w:type="spellStart"/>
      <w:proofErr w:type="gramEnd"/>
      <w:r w:rsidR="004A4F5B">
        <w:rPr>
          <w:rFonts w:ascii="Times New Roman" w:hAnsi="Times New Roman" w:cs="Times New Roman"/>
          <w:sz w:val="24"/>
          <w:szCs w:val="24"/>
        </w:rPr>
        <w:t>Sn</w:t>
      </w:r>
      <w:proofErr w:type="spellEnd"/>
      <w:r w:rsidR="004A4F5B">
        <w:rPr>
          <w:rFonts w:ascii="Times New Roman" w:hAnsi="Times New Roman" w:cs="Times New Roman"/>
          <w:sz w:val="24"/>
          <w:szCs w:val="24"/>
        </w:rPr>
        <w:t>)</w:t>
      </w:r>
      <w:r w:rsidRPr="007D2A0A">
        <w:rPr>
          <w:rFonts w:ascii="Times New Roman" w:hAnsi="Times New Roman" w:cs="Times New Roman"/>
          <w:sz w:val="24"/>
          <w:szCs w:val="24"/>
        </w:rPr>
        <w:t xml:space="preserve"> to </w:t>
      </w:r>
      <w:proofErr w:type="spellStart"/>
      <w:r w:rsidRPr="007D2A0A">
        <w:rPr>
          <w:rFonts w:ascii="Times New Roman" w:hAnsi="Times New Roman" w:cs="Times New Roman"/>
          <w:sz w:val="24"/>
          <w:szCs w:val="24"/>
        </w:rPr>
        <w:t>menton</w:t>
      </w:r>
      <w:proofErr w:type="spellEnd"/>
      <w:r w:rsidR="004A4F5B">
        <w:rPr>
          <w:rFonts w:ascii="Times New Roman" w:hAnsi="Times New Roman" w:cs="Times New Roman"/>
          <w:sz w:val="24"/>
          <w:szCs w:val="24"/>
        </w:rPr>
        <w:t xml:space="preserve">, and </w:t>
      </w:r>
      <w:proofErr w:type="spellStart"/>
      <w:r w:rsidR="004A4F5B">
        <w:rPr>
          <w:rFonts w:ascii="Times New Roman" w:hAnsi="Times New Roman" w:cs="Times New Roman"/>
          <w:sz w:val="24"/>
          <w:szCs w:val="24"/>
        </w:rPr>
        <w:t>cephalometric</w:t>
      </w:r>
      <w:proofErr w:type="spellEnd"/>
      <w:r w:rsidR="004A4F5B">
        <w:rPr>
          <w:rFonts w:ascii="Times New Roman" w:hAnsi="Times New Roman" w:cs="Times New Roman"/>
          <w:sz w:val="24"/>
          <w:szCs w:val="24"/>
        </w:rPr>
        <w:t xml:space="preserve"> lower facial height </w:t>
      </w:r>
      <w:r w:rsidR="004A4F5B">
        <w:rPr>
          <w:rFonts w:ascii="Times New Roman" w:hAnsi="Times New Roman" w:cs="Times New Roman"/>
          <w:sz w:val="24"/>
          <w:szCs w:val="18"/>
        </w:rPr>
        <w:t>dis</w:t>
      </w:r>
      <w:r w:rsidR="004D19FC">
        <w:rPr>
          <w:rFonts w:ascii="Times New Roman" w:hAnsi="Times New Roman" w:cs="Times New Roman"/>
          <w:sz w:val="24"/>
          <w:szCs w:val="18"/>
        </w:rPr>
        <w:t>tance from anterior nasal spine</w:t>
      </w:r>
      <w:r w:rsidR="004A4F5B">
        <w:rPr>
          <w:rFonts w:ascii="Times New Roman" w:hAnsi="Times New Roman" w:cs="Times New Roman"/>
          <w:sz w:val="24"/>
          <w:szCs w:val="18"/>
        </w:rPr>
        <w:t xml:space="preserve">(ANS) to </w:t>
      </w:r>
      <w:proofErr w:type="spellStart"/>
      <w:r w:rsidR="004A4F5B">
        <w:rPr>
          <w:rFonts w:ascii="Times New Roman" w:hAnsi="Times New Roman" w:cs="Times New Roman"/>
          <w:sz w:val="24"/>
          <w:szCs w:val="18"/>
        </w:rPr>
        <w:t>menton</w:t>
      </w:r>
      <w:proofErr w:type="spellEnd"/>
      <w:r w:rsidRPr="007D2A0A">
        <w:rPr>
          <w:rFonts w:ascii="Times New Roman" w:hAnsi="Times New Roman" w:cs="Times New Roman"/>
          <w:sz w:val="24"/>
          <w:szCs w:val="24"/>
        </w:rPr>
        <w:t xml:space="preserve"> and the clinical crown height of maxillary and mandibular incisors and molars were measured</w:t>
      </w:r>
      <w:r>
        <w:rPr>
          <w:rFonts w:ascii="Times New Roman" w:hAnsi="Times New Roman" w:cs="Times New Roman"/>
          <w:sz w:val="24"/>
          <w:szCs w:val="24"/>
        </w:rPr>
        <w:t>.</w:t>
      </w:r>
    </w:p>
    <w:p w:rsidR="004A4F5B" w:rsidRPr="00B94738" w:rsidRDefault="00CD5ED7" w:rsidP="00985AE3">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sz w:val="24"/>
          <w:szCs w:val="24"/>
        </w:rPr>
        <w:t>Observations:-</w:t>
      </w:r>
      <w:r w:rsidR="00B94738">
        <w:rPr>
          <w:rFonts w:ascii="Times New Roman" w:hAnsi="Times New Roman" w:cs="Times New Roman"/>
          <w:sz w:val="24"/>
          <w:szCs w:val="24"/>
        </w:rPr>
        <w:t>Significant difference was observed</w:t>
      </w:r>
      <w:r w:rsidR="00985349">
        <w:rPr>
          <w:rFonts w:ascii="Times New Roman" w:hAnsi="Times New Roman" w:cs="Times New Roman"/>
          <w:sz w:val="24"/>
          <w:szCs w:val="24"/>
        </w:rPr>
        <w:t xml:space="preserve"> in relation to</w:t>
      </w:r>
      <w:r w:rsidR="00B94738">
        <w:rPr>
          <w:rFonts w:ascii="Times New Roman" w:hAnsi="Times New Roman" w:cs="Times New Roman"/>
          <w:sz w:val="24"/>
          <w:szCs w:val="24"/>
        </w:rPr>
        <w:t xml:space="preserve"> 16 in </w:t>
      </w:r>
      <w:proofErr w:type="spellStart"/>
      <w:r w:rsidR="00B94738">
        <w:rPr>
          <w:rFonts w:ascii="Times New Roman" w:hAnsi="Times New Roman" w:cs="Times New Roman"/>
          <w:sz w:val="24"/>
          <w:szCs w:val="24"/>
        </w:rPr>
        <w:t>normodivergent</w:t>
      </w:r>
      <w:proofErr w:type="spellEnd"/>
      <w:r w:rsidR="00B94738">
        <w:rPr>
          <w:rFonts w:ascii="Times New Roman" w:hAnsi="Times New Roman" w:cs="Times New Roman"/>
          <w:sz w:val="24"/>
          <w:szCs w:val="24"/>
        </w:rPr>
        <w:t xml:space="preserve"> patient and lower facial height clinically and </w:t>
      </w:r>
      <w:proofErr w:type="spellStart"/>
      <w:r w:rsidR="00B94738">
        <w:rPr>
          <w:rFonts w:ascii="Times New Roman" w:hAnsi="Times New Roman" w:cs="Times New Roman"/>
          <w:sz w:val="24"/>
          <w:szCs w:val="24"/>
        </w:rPr>
        <w:t>cephalometrically</w:t>
      </w:r>
      <w:proofErr w:type="spellEnd"/>
      <w:r w:rsidR="00B94738">
        <w:rPr>
          <w:rFonts w:ascii="Times New Roman" w:hAnsi="Times New Roman" w:cs="Times New Roman"/>
          <w:sz w:val="24"/>
          <w:szCs w:val="24"/>
        </w:rPr>
        <w:t xml:space="preserve"> in </w:t>
      </w:r>
      <w:proofErr w:type="spellStart"/>
      <w:r w:rsidR="00B94738">
        <w:rPr>
          <w:rFonts w:ascii="Times New Roman" w:hAnsi="Times New Roman" w:cs="Times New Roman"/>
          <w:sz w:val="24"/>
          <w:szCs w:val="24"/>
        </w:rPr>
        <w:t>hyperdivergent</w:t>
      </w:r>
      <w:proofErr w:type="spellEnd"/>
      <w:r w:rsidR="00B94738">
        <w:rPr>
          <w:rFonts w:ascii="Times New Roman" w:hAnsi="Times New Roman" w:cs="Times New Roman"/>
          <w:sz w:val="24"/>
          <w:szCs w:val="24"/>
        </w:rPr>
        <w:t xml:space="preserve"> growth patient. </w:t>
      </w:r>
      <w:r w:rsidR="00B94738">
        <w:rPr>
          <w:rFonts w:ascii="Times New Roman" w:hAnsi="Times New Roman" w:cs="Times New Roman"/>
          <w:bCs/>
          <w:color w:val="000000"/>
          <w:sz w:val="24"/>
          <w:szCs w:val="24"/>
        </w:rPr>
        <w:t>No significant difference between clinical</w:t>
      </w:r>
      <w:r w:rsidR="004D19FC">
        <w:rPr>
          <w:rFonts w:ascii="Times New Roman" w:hAnsi="Times New Roman" w:cs="Times New Roman"/>
          <w:bCs/>
          <w:color w:val="000000"/>
          <w:sz w:val="24"/>
          <w:szCs w:val="24"/>
        </w:rPr>
        <w:t xml:space="preserve"> &amp;</w:t>
      </w:r>
      <w:r w:rsidR="004D19FC" w:rsidRPr="004D19FC">
        <w:rPr>
          <w:rFonts w:ascii="Times New Roman" w:hAnsi="Times New Roman" w:cs="Times New Roman"/>
          <w:bCs/>
          <w:color w:val="000000"/>
          <w:sz w:val="24"/>
          <w:szCs w:val="24"/>
        </w:rPr>
        <w:t xml:space="preserve"> </w:t>
      </w:r>
      <w:proofErr w:type="spellStart"/>
      <w:r w:rsidR="004D19FC">
        <w:rPr>
          <w:rFonts w:ascii="Times New Roman" w:hAnsi="Times New Roman" w:cs="Times New Roman"/>
          <w:bCs/>
          <w:color w:val="000000"/>
          <w:sz w:val="24"/>
          <w:szCs w:val="24"/>
        </w:rPr>
        <w:t>cephalometric</w:t>
      </w:r>
      <w:proofErr w:type="spellEnd"/>
      <w:r w:rsidR="004D19FC">
        <w:rPr>
          <w:rFonts w:ascii="Times New Roman" w:hAnsi="Times New Roman" w:cs="Times New Roman"/>
          <w:bCs/>
          <w:color w:val="000000"/>
          <w:sz w:val="24"/>
          <w:szCs w:val="24"/>
        </w:rPr>
        <w:t xml:space="preserve"> lower facial height </w:t>
      </w:r>
      <w:r w:rsidR="00B94738">
        <w:rPr>
          <w:rFonts w:ascii="Times New Roman" w:hAnsi="Times New Roman" w:cs="Times New Roman"/>
          <w:bCs/>
          <w:color w:val="000000"/>
          <w:sz w:val="24"/>
          <w:szCs w:val="24"/>
        </w:rPr>
        <w:t>in</w:t>
      </w:r>
      <w:r w:rsidR="006E6716">
        <w:rPr>
          <w:rFonts w:ascii="Times New Roman" w:hAnsi="Times New Roman" w:cs="Times New Roman"/>
          <w:bCs/>
          <w:color w:val="000000"/>
          <w:sz w:val="24"/>
          <w:szCs w:val="24"/>
        </w:rPr>
        <w:t xml:space="preserve"> </w:t>
      </w:r>
      <w:proofErr w:type="spellStart"/>
      <w:r w:rsidR="006E6716">
        <w:rPr>
          <w:rFonts w:ascii="Times New Roman" w:hAnsi="Times New Roman" w:cs="Times New Roman"/>
          <w:bCs/>
          <w:color w:val="000000"/>
          <w:sz w:val="24"/>
          <w:szCs w:val="24"/>
        </w:rPr>
        <w:t>normodivergent</w:t>
      </w:r>
      <w:proofErr w:type="spellEnd"/>
      <w:r w:rsidR="006E6716">
        <w:rPr>
          <w:rFonts w:ascii="Times New Roman" w:hAnsi="Times New Roman" w:cs="Times New Roman"/>
          <w:bCs/>
          <w:color w:val="000000"/>
          <w:sz w:val="24"/>
          <w:szCs w:val="24"/>
        </w:rPr>
        <w:t xml:space="preserve">, </w:t>
      </w:r>
      <w:proofErr w:type="spellStart"/>
      <w:r w:rsidR="006E6716">
        <w:rPr>
          <w:rFonts w:ascii="Times New Roman" w:hAnsi="Times New Roman" w:cs="Times New Roman"/>
          <w:bCs/>
          <w:color w:val="000000"/>
          <w:sz w:val="24"/>
          <w:szCs w:val="24"/>
        </w:rPr>
        <w:t>hypodivergent</w:t>
      </w:r>
      <w:proofErr w:type="spellEnd"/>
      <w:r w:rsidR="006E6716">
        <w:rPr>
          <w:rFonts w:ascii="Times New Roman" w:hAnsi="Times New Roman" w:cs="Times New Roman"/>
          <w:bCs/>
          <w:color w:val="000000"/>
          <w:sz w:val="24"/>
          <w:szCs w:val="24"/>
        </w:rPr>
        <w:t xml:space="preserve"> and </w:t>
      </w:r>
      <w:proofErr w:type="spellStart"/>
      <w:r w:rsidR="006E6716">
        <w:rPr>
          <w:rFonts w:ascii="Times New Roman" w:hAnsi="Times New Roman" w:cs="Times New Roman"/>
          <w:bCs/>
          <w:color w:val="000000"/>
          <w:sz w:val="24"/>
          <w:szCs w:val="24"/>
        </w:rPr>
        <w:t>hyperdivergent</w:t>
      </w:r>
      <w:proofErr w:type="spellEnd"/>
      <w:r w:rsidR="00B94738">
        <w:rPr>
          <w:rFonts w:ascii="Times New Roman" w:hAnsi="Times New Roman" w:cs="Times New Roman"/>
          <w:bCs/>
          <w:color w:val="000000"/>
          <w:sz w:val="24"/>
          <w:szCs w:val="24"/>
        </w:rPr>
        <w:t xml:space="preserve"> male and female patient.</w:t>
      </w:r>
      <w:r w:rsidR="004D19FC">
        <w:rPr>
          <w:rFonts w:ascii="Times New Roman" w:hAnsi="Times New Roman" w:cs="Times New Roman"/>
          <w:bCs/>
          <w:color w:val="000000"/>
          <w:sz w:val="24"/>
          <w:szCs w:val="24"/>
        </w:rPr>
        <w:t xml:space="preserve"> </w:t>
      </w:r>
      <w:r w:rsidR="006E6716">
        <w:rPr>
          <w:rFonts w:ascii="Times New Roman" w:hAnsi="Times New Roman" w:cs="Times New Roman"/>
          <w:bCs/>
          <w:color w:val="000000"/>
          <w:sz w:val="24"/>
          <w:szCs w:val="24"/>
        </w:rPr>
        <w:t xml:space="preserve">Significant difference was observed between 41 to lower facial height in </w:t>
      </w:r>
      <w:proofErr w:type="spellStart"/>
      <w:r w:rsidR="006E6716">
        <w:rPr>
          <w:rFonts w:ascii="Times New Roman" w:hAnsi="Times New Roman" w:cs="Times New Roman"/>
          <w:bCs/>
          <w:color w:val="000000"/>
          <w:sz w:val="24"/>
          <w:szCs w:val="24"/>
        </w:rPr>
        <w:t>hypodi</w:t>
      </w:r>
      <w:r w:rsidR="004D19FC">
        <w:rPr>
          <w:rFonts w:ascii="Times New Roman" w:hAnsi="Times New Roman" w:cs="Times New Roman"/>
          <w:bCs/>
          <w:color w:val="000000"/>
          <w:sz w:val="24"/>
          <w:szCs w:val="24"/>
        </w:rPr>
        <w:t>vergent</w:t>
      </w:r>
      <w:proofErr w:type="spellEnd"/>
      <w:r w:rsidR="004D19FC">
        <w:rPr>
          <w:rFonts w:ascii="Times New Roman" w:hAnsi="Times New Roman" w:cs="Times New Roman"/>
          <w:bCs/>
          <w:color w:val="000000"/>
          <w:sz w:val="24"/>
          <w:szCs w:val="24"/>
        </w:rPr>
        <w:t xml:space="preserve"> &amp; 11</w:t>
      </w:r>
      <w:proofErr w:type="gramStart"/>
      <w:r w:rsidR="004D19FC">
        <w:rPr>
          <w:rFonts w:ascii="Times New Roman" w:hAnsi="Times New Roman" w:cs="Times New Roman"/>
          <w:bCs/>
          <w:color w:val="000000"/>
          <w:sz w:val="24"/>
          <w:szCs w:val="24"/>
        </w:rPr>
        <w:t>,41</w:t>
      </w:r>
      <w:proofErr w:type="gramEnd"/>
      <w:r w:rsidR="004D19FC">
        <w:rPr>
          <w:rFonts w:ascii="Times New Roman" w:hAnsi="Times New Roman" w:cs="Times New Roman"/>
          <w:bCs/>
          <w:color w:val="000000"/>
          <w:sz w:val="24"/>
          <w:szCs w:val="24"/>
        </w:rPr>
        <w:t xml:space="preserve"> &amp; </w:t>
      </w:r>
      <w:r w:rsidR="006E6716">
        <w:rPr>
          <w:rFonts w:ascii="Times New Roman" w:hAnsi="Times New Roman" w:cs="Times New Roman"/>
          <w:bCs/>
          <w:color w:val="000000"/>
          <w:sz w:val="24"/>
          <w:szCs w:val="24"/>
        </w:rPr>
        <w:t xml:space="preserve">46 to lower facial height in </w:t>
      </w:r>
      <w:proofErr w:type="spellStart"/>
      <w:r w:rsidR="006E6716">
        <w:rPr>
          <w:rFonts w:ascii="Times New Roman" w:hAnsi="Times New Roman" w:cs="Times New Roman"/>
          <w:bCs/>
          <w:color w:val="000000"/>
          <w:sz w:val="24"/>
          <w:szCs w:val="24"/>
        </w:rPr>
        <w:t>hyperdivergent</w:t>
      </w:r>
      <w:proofErr w:type="spellEnd"/>
      <w:r w:rsidR="006E6716">
        <w:rPr>
          <w:rFonts w:ascii="Times New Roman" w:hAnsi="Times New Roman" w:cs="Times New Roman"/>
          <w:bCs/>
          <w:color w:val="000000"/>
          <w:sz w:val="24"/>
          <w:szCs w:val="24"/>
        </w:rPr>
        <w:t xml:space="preserve"> patient.</w:t>
      </w:r>
    </w:p>
    <w:p w:rsidR="004A4F5B" w:rsidRDefault="004A4F5B" w:rsidP="00985AE3">
      <w:pPr>
        <w:autoSpaceDE w:val="0"/>
        <w:autoSpaceDN w:val="0"/>
        <w:adjustRightInd w:val="0"/>
        <w:spacing w:after="0" w:line="240" w:lineRule="auto"/>
        <w:jc w:val="both"/>
        <w:rPr>
          <w:rFonts w:ascii="Times New Roman" w:hAnsi="Times New Roman" w:cs="Times New Roman"/>
          <w:b/>
          <w:sz w:val="24"/>
          <w:szCs w:val="24"/>
        </w:rPr>
      </w:pPr>
      <w:r w:rsidRPr="004A4F5B">
        <w:rPr>
          <w:rFonts w:ascii="Times New Roman" w:hAnsi="Times New Roman" w:cs="Times New Roman"/>
          <w:b/>
          <w:sz w:val="24"/>
          <w:szCs w:val="24"/>
        </w:rPr>
        <w:t>Conclusion:</w:t>
      </w:r>
      <w:r w:rsidR="00CD5ED7">
        <w:rPr>
          <w:rFonts w:ascii="Times New Roman" w:hAnsi="Times New Roman" w:cs="Times New Roman"/>
          <w:sz w:val="24"/>
          <w:szCs w:val="24"/>
        </w:rPr>
        <w:t>-</w:t>
      </w:r>
      <w:r w:rsidR="006E6716">
        <w:rPr>
          <w:rFonts w:ascii="Times New Roman" w:hAnsi="Times New Roman" w:cs="Times New Roman"/>
          <w:sz w:val="24"/>
          <w:szCs w:val="24"/>
        </w:rPr>
        <w:t xml:space="preserve">A strong significant correlation was observed with clinical crown height of lower central incisor and lower facial height in </w:t>
      </w:r>
      <w:proofErr w:type="spellStart"/>
      <w:r w:rsidR="006E6716">
        <w:rPr>
          <w:rFonts w:ascii="Times New Roman" w:hAnsi="Times New Roman" w:cs="Times New Roman"/>
          <w:sz w:val="24"/>
          <w:szCs w:val="24"/>
        </w:rPr>
        <w:t>hyperdivergent</w:t>
      </w:r>
      <w:proofErr w:type="spellEnd"/>
      <w:r w:rsidR="006E6716">
        <w:rPr>
          <w:rFonts w:ascii="Times New Roman" w:hAnsi="Times New Roman" w:cs="Times New Roman"/>
          <w:sz w:val="24"/>
          <w:szCs w:val="24"/>
        </w:rPr>
        <w:t xml:space="preserve"> and </w:t>
      </w:r>
      <w:proofErr w:type="spellStart"/>
      <w:r w:rsidR="006E6716">
        <w:rPr>
          <w:rFonts w:ascii="Times New Roman" w:hAnsi="Times New Roman" w:cs="Times New Roman"/>
          <w:sz w:val="24"/>
          <w:szCs w:val="24"/>
        </w:rPr>
        <w:t>hypodivergent</w:t>
      </w:r>
      <w:proofErr w:type="spellEnd"/>
      <w:r w:rsidR="006E6716">
        <w:rPr>
          <w:rFonts w:ascii="Times New Roman" w:hAnsi="Times New Roman" w:cs="Times New Roman"/>
          <w:sz w:val="24"/>
          <w:szCs w:val="24"/>
        </w:rPr>
        <w:t xml:space="preserve"> patient.</w:t>
      </w:r>
    </w:p>
    <w:p w:rsidR="005B35BB" w:rsidRDefault="00CD5ED7" w:rsidP="00985AE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Keywords:-</w:t>
      </w:r>
      <w:r w:rsidR="004A4F5B">
        <w:rPr>
          <w:rFonts w:ascii="Times New Roman" w:hAnsi="Times New Roman" w:cs="Times New Roman"/>
          <w:sz w:val="24"/>
          <w:szCs w:val="24"/>
        </w:rPr>
        <w:t>Lower facial height, Clinical cro</w:t>
      </w:r>
      <w:r w:rsidR="004D19FC">
        <w:rPr>
          <w:rFonts w:ascii="Times New Roman" w:hAnsi="Times New Roman" w:cs="Times New Roman"/>
          <w:sz w:val="24"/>
          <w:szCs w:val="24"/>
        </w:rPr>
        <w:t xml:space="preserve">wn height of incisor &amp; </w:t>
      </w:r>
      <w:r w:rsidR="004A4F5B">
        <w:rPr>
          <w:rFonts w:ascii="Times New Roman" w:hAnsi="Times New Roman" w:cs="Times New Roman"/>
          <w:sz w:val="24"/>
          <w:szCs w:val="24"/>
        </w:rPr>
        <w:t xml:space="preserve">molar, </w:t>
      </w:r>
      <w:proofErr w:type="gramStart"/>
      <w:r w:rsidR="004A4F5B">
        <w:rPr>
          <w:rFonts w:ascii="Times New Roman" w:hAnsi="Times New Roman" w:cs="Times New Roman"/>
          <w:sz w:val="24"/>
          <w:szCs w:val="24"/>
        </w:rPr>
        <w:t>Lateral</w:t>
      </w:r>
      <w:proofErr w:type="gramEnd"/>
      <w:r w:rsidR="00214EDE">
        <w:rPr>
          <w:rFonts w:ascii="Times New Roman" w:hAnsi="Times New Roman" w:cs="Times New Roman"/>
          <w:sz w:val="24"/>
          <w:szCs w:val="24"/>
        </w:rPr>
        <w:t xml:space="preserve"> </w:t>
      </w:r>
      <w:proofErr w:type="spellStart"/>
      <w:r w:rsidR="004A4F5B">
        <w:rPr>
          <w:rFonts w:ascii="Times New Roman" w:hAnsi="Times New Roman" w:cs="Times New Roman"/>
          <w:sz w:val="24"/>
          <w:szCs w:val="24"/>
        </w:rPr>
        <w:t>cephalogram</w:t>
      </w:r>
      <w:proofErr w:type="spellEnd"/>
    </w:p>
    <w:p w:rsidR="005B35BB" w:rsidRDefault="005B35BB" w:rsidP="00985AE3">
      <w:pPr>
        <w:autoSpaceDE w:val="0"/>
        <w:autoSpaceDN w:val="0"/>
        <w:adjustRightInd w:val="0"/>
        <w:spacing w:after="0" w:line="240" w:lineRule="auto"/>
        <w:jc w:val="both"/>
        <w:rPr>
          <w:rFonts w:ascii="Times New Roman" w:hAnsi="Times New Roman" w:cs="Times New Roman"/>
          <w:sz w:val="24"/>
          <w:szCs w:val="24"/>
        </w:rPr>
      </w:pPr>
    </w:p>
    <w:p w:rsidR="005B35BB" w:rsidRDefault="005B35BB" w:rsidP="00985AE3">
      <w:pPr>
        <w:autoSpaceDE w:val="0"/>
        <w:autoSpaceDN w:val="0"/>
        <w:adjustRightInd w:val="0"/>
        <w:spacing w:after="0" w:line="240" w:lineRule="auto"/>
        <w:jc w:val="both"/>
        <w:rPr>
          <w:rFonts w:ascii="Times New Roman" w:hAnsi="Times New Roman" w:cs="Times New Roman"/>
          <w:sz w:val="24"/>
          <w:szCs w:val="24"/>
        </w:rPr>
      </w:pPr>
    </w:p>
    <w:p w:rsidR="005B35BB" w:rsidRDefault="005B35BB" w:rsidP="00985AE3">
      <w:pPr>
        <w:autoSpaceDE w:val="0"/>
        <w:autoSpaceDN w:val="0"/>
        <w:adjustRightInd w:val="0"/>
        <w:spacing w:after="0" w:line="240" w:lineRule="auto"/>
        <w:jc w:val="both"/>
        <w:rPr>
          <w:rFonts w:ascii="Times New Roman" w:hAnsi="Times New Roman" w:cs="Times New Roman"/>
          <w:sz w:val="24"/>
          <w:szCs w:val="24"/>
        </w:rPr>
      </w:pPr>
    </w:p>
    <w:p w:rsidR="005B35BB" w:rsidRDefault="005B35BB" w:rsidP="00985AE3">
      <w:pPr>
        <w:autoSpaceDE w:val="0"/>
        <w:autoSpaceDN w:val="0"/>
        <w:adjustRightInd w:val="0"/>
        <w:spacing w:after="0" w:line="240" w:lineRule="auto"/>
        <w:jc w:val="both"/>
        <w:rPr>
          <w:rFonts w:ascii="Times New Roman" w:hAnsi="Times New Roman" w:cs="Times New Roman"/>
          <w:sz w:val="24"/>
          <w:szCs w:val="24"/>
        </w:rPr>
      </w:pPr>
    </w:p>
    <w:p w:rsidR="005B35BB" w:rsidRDefault="005B35BB" w:rsidP="00985AE3">
      <w:pPr>
        <w:autoSpaceDE w:val="0"/>
        <w:autoSpaceDN w:val="0"/>
        <w:adjustRightInd w:val="0"/>
        <w:spacing w:after="0" w:line="240" w:lineRule="auto"/>
        <w:jc w:val="both"/>
        <w:rPr>
          <w:rFonts w:ascii="Times New Roman" w:hAnsi="Times New Roman" w:cs="Times New Roman"/>
          <w:sz w:val="24"/>
          <w:szCs w:val="24"/>
        </w:rPr>
      </w:pPr>
    </w:p>
    <w:p w:rsidR="005B35BB" w:rsidRDefault="005B35BB" w:rsidP="00985AE3">
      <w:pPr>
        <w:autoSpaceDE w:val="0"/>
        <w:autoSpaceDN w:val="0"/>
        <w:adjustRightInd w:val="0"/>
        <w:spacing w:after="0" w:line="240" w:lineRule="auto"/>
        <w:jc w:val="both"/>
        <w:rPr>
          <w:rFonts w:ascii="Times New Roman" w:hAnsi="Times New Roman" w:cs="Times New Roman"/>
          <w:sz w:val="24"/>
          <w:szCs w:val="24"/>
        </w:rPr>
      </w:pPr>
    </w:p>
    <w:p w:rsidR="005B35BB" w:rsidRDefault="005B35BB" w:rsidP="00985AE3">
      <w:pPr>
        <w:autoSpaceDE w:val="0"/>
        <w:autoSpaceDN w:val="0"/>
        <w:adjustRightInd w:val="0"/>
        <w:spacing w:after="0" w:line="240" w:lineRule="auto"/>
        <w:jc w:val="both"/>
        <w:rPr>
          <w:rFonts w:ascii="Times New Roman" w:hAnsi="Times New Roman" w:cs="Times New Roman"/>
          <w:sz w:val="24"/>
          <w:szCs w:val="24"/>
        </w:rPr>
      </w:pPr>
    </w:p>
    <w:p w:rsidR="005B35BB" w:rsidRDefault="005B35BB" w:rsidP="00985AE3">
      <w:pPr>
        <w:autoSpaceDE w:val="0"/>
        <w:autoSpaceDN w:val="0"/>
        <w:adjustRightInd w:val="0"/>
        <w:spacing w:after="0" w:line="240" w:lineRule="auto"/>
        <w:jc w:val="both"/>
        <w:rPr>
          <w:rFonts w:ascii="Times New Roman" w:hAnsi="Times New Roman" w:cs="Times New Roman"/>
          <w:sz w:val="24"/>
          <w:szCs w:val="24"/>
        </w:rPr>
      </w:pPr>
    </w:p>
    <w:p w:rsidR="005B35BB" w:rsidRDefault="005B35BB" w:rsidP="00985AE3">
      <w:pPr>
        <w:autoSpaceDE w:val="0"/>
        <w:autoSpaceDN w:val="0"/>
        <w:adjustRightInd w:val="0"/>
        <w:spacing w:after="0" w:line="240" w:lineRule="auto"/>
        <w:jc w:val="both"/>
        <w:rPr>
          <w:rFonts w:ascii="Times New Roman" w:hAnsi="Times New Roman" w:cs="Times New Roman"/>
          <w:sz w:val="24"/>
          <w:szCs w:val="24"/>
        </w:rPr>
      </w:pPr>
    </w:p>
    <w:p w:rsidR="005B35BB" w:rsidRDefault="005B35BB" w:rsidP="00985AE3">
      <w:pPr>
        <w:autoSpaceDE w:val="0"/>
        <w:autoSpaceDN w:val="0"/>
        <w:adjustRightInd w:val="0"/>
        <w:spacing w:after="0" w:line="240" w:lineRule="auto"/>
        <w:jc w:val="both"/>
        <w:rPr>
          <w:rFonts w:ascii="Times New Roman" w:hAnsi="Times New Roman" w:cs="Times New Roman"/>
          <w:sz w:val="24"/>
          <w:szCs w:val="24"/>
        </w:rPr>
      </w:pPr>
    </w:p>
    <w:p w:rsidR="00D91970" w:rsidRDefault="00D91970" w:rsidP="00985AE3">
      <w:pPr>
        <w:autoSpaceDE w:val="0"/>
        <w:autoSpaceDN w:val="0"/>
        <w:adjustRightInd w:val="0"/>
        <w:spacing w:after="0" w:line="240" w:lineRule="auto"/>
        <w:jc w:val="both"/>
        <w:rPr>
          <w:rFonts w:ascii="Times New Roman" w:hAnsi="Times New Roman" w:cs="Times New Roman"/>
          <w:sz w:val="24"/>
          <w:szCs w:val="24"/>
        </w:rPr>
      </w:pPr>
    </w:p>
    <w:p w:rsidR="0079034A" w:rsidRDefault="0079034A" w:rsidP="00985AE3">
      <w:pPr>
        <w:autoSpaceDE w:val="0"/>
        <w:autoSpaceDN w:val="0"/>
        <w:adjustRightInd w:val="0"/>
        <w:spacing w:after="0" w:line="240" w:lineRule="auto"/>
        <w:jc w:val="both"/>
        <w:rPr>
          <w:rFonts w:ascii="Times New Roman" w:hAnsi="Times New Roman" w:cs="Times New Roman"/>
          <w:sz w:val="24"/>
          <w:szCs w:val="24"/>
        </w:rPr>
      </w:pPr>
    </w:p>
    <w:p w:rsidR="002F345C" w:rsidRPr="007D2A0A" w:rsidRDefault="002F345C" w:rsidP="00985AE3">
      <w:pPr>
        <w:autoSpaceDE w:val="0"/>
        <w:autoSpaceDN w:val="0"/>
        <w:adjustRightInd w:val="0"/>
        <w:spacing w:after="0" w:line="240" w:lineRule="auto"/>
        <w:jc w:val="both"/>
        <w:rPr>
          <w:rFonts w:ascii="Times New Roman" w:hAnsi="Times New Roman" w:cs="Times New Roman"/>
          <w:b/>
          <w:sz w:val="24"/>
          <w:szCs w:val="24"/>
          <w:u w:val="single"/>
        </w:rPr>
      </w:pPr>
      <w:r w:rsidRPr="007D2A0A">
        <w:rPr>
          <w:rFonts w:ascii="Times New Roman" w:hAnsi="Times New Roman" w:cs="Times New Roman"/>
          <w:b/>
          <w:sz w:val="24"/>
          <w:szCs w:val="24"/>
          <w:u w:val="single"/>
        </w:rPr>
        <w:t>INTRODUCTION</w:t>
      </w:r>
    </w:p>
    <w:p w:rsidR="002F345C" w:rsidRPr="007F36B9" w:rsidRDefault="002F345C" w:rsidP="00985AE3">
      <w:pPr>
        <w:autoSpaceDE w:val="0"/>
        <w:autoSpaceDN w:val="0"/>
        <w:adjustRightInd w:val="0"/>
        <w:spacing w:after="0" w:line="240" w:lineRule="auto"/>
        <w:jc w:val="both"/>
        <w:rPr>
          <w:rFonts w:ascii="Times New Roman" w:hAnsi="Times New Roman" w:cs="Times New Roman"/>
          <w:sz w:val="24"/>
          <w:szCs w:val="24"/>
        </w:rPr>
      </w:pPr>
    </w:p>
    <w:p w:rsidR="00E4227C" w:rsidRPr="005323C7" w:rsidRDefault="00B72969" w:rsidP="005323C7">
      <w:pPr>
        <w:pStyle w:val="NoSpacing"/>
        <w:jc w:val="both"/>
        <w:rPr>
          <w:rFonts w:ascii="Times New Roman" w:hAnsi="Times New Roman" w:cs="Times New Roman"/>
          <w:sz w:val="24"/>
          <w:szCs w:val="24"/>
          <w:vertAlign w:val="superscript"/>
        </w:rPr>
      </w:pPr>
      <w:r w:rsidRPr="005323C7">
        <w:rPr>
          <w:rFonts w:ascii="Times New Roman" w:hAnsi="Times New Roman" w:cs="Times New Roman"/>
          <w:sz w:val="24"/>
          <w:szCs w:val="24"/>
        </w:rPr>
        <w:t>Dental size and shape has been commonly used to learn biological relatio</w:t>
      </w:r>
      <w:r w:rsidR="005323C7" w:rsidRPr="005323C7">
        <w:rPr>
          <w:rFonts w:ascii="Times New Roman" w:hAnsi="Times New Roman" w:cs="Times New Roman"/>
          <w:sz w:val="24"/>
          <w:szCs w:val="24"/>
        </w:rPr>
        <w:t xml:space="preserve">nships among human </w:t>
      </w:r>
      <w:r w:rsidR="001676C5" w:rsidRPr="005323C7">
        <w:rPr>
          <w:rFonts w:ascii="Times New Roman" w:hAnsi="Times New Roman" w:cs="Times New Roman"/>
          <w:sz w:val="24"/>
          <w:szCs w:val="24"/>
        </w:rPr>
        <w:t>populations.</w:t>
      </w:r>
      <w:r w:rsidR="00985349" w:rsidRPr="005323C7">
        <w:rPr>
          <w:rFonts w:ascii="Times New Roman" w:hAnsi="Times New Roman" w:cs="Times New Roman"/>
          <w:sz w:val="24"/>
          <w:szCs w:val="24"/>
          <w:vertAlign w:val="superscript"/>
        </w:rPr>
        <w:t>1</w:t>
      </w:r>
      <w:r w:rsidRPr="005323C7">
        <w:rPr>
          <w:rFonts w:ascii="Times New Roman" w:hAnsi="Times New Roman" w:cs="Times New Roman"/>
          <w:sz w:val="24"/>
          <w:szCs w:val="24"/>
        </w:rPr>
        <w:t xml:space="preserve"> </w:t>
      </w:r>
      <w:proofErr w:type="gramStart"/>
      <w:r w:rsidRPr="005323C7">
        <w:rPr>
          <w:rFonts w:ascii="Times New Roman" w:hAnsi="Times New Roman" w:cs="Times New Roman"/>
          <w:sz w:val="24"/>
          <w:szCs w:val="24"/>
        </w:rPr>
        <w:t>A</w:t>
      </w:r>
      <w:proofErr w:type="gramEnd"/>
      <w:r w:rsidRPr="005323C7">
        <w:rPr>
          <w:rFonts w:ascii="Times New Roman" w:hAnsi="Times New Roman" w:cs="Times New Roman"/>
          <w:sz w:val="24"/>
          <w:szCs w:val="24"/>
        </w:rPr>
        <w:t xml:space="preserve"> well balanced attractive face generally indicate a straight profile with equal proportion of upper, middle and lower facial thirds. Profile as well as height of face, helps in diagnosi</w:t>
      </w:r>
      <w:r w:rsidR="003C02A7">
        <w:rPr>
          <w:rFonts w:ascii="Times New Roman" w:hAnsi="Times New Roman" w:cs="Times New Roman"/>
          <w:sz w:val="24"/>
          <w:szCs w:val="24"/>
        </w:rPr>
        <w:t>ng gross deviation in maxilla-</w:t>
      </w:r>
      <w:r w:rsidRPr="005323C7">
        <w:rPr>
          <w:rFonts w:ascii="Times New Roman" w:hAnsi="Times New Roman" w:cs="Times New Roman"/>
          <w:sz w:val="24"/>
          <w:szCs w:val="24"/>
        </w:rPr>
        <w:t>mandibular relationship both Ante</w:t>
      </w:r>
      <w:r w:rsidR="00214EDE" w:rsidRPr="005323C7">
        <w:rPr>
          <w:rFonts w:ascii="Times New Roman" w:hAnsi="Times New Roman" w:cs="Times New Roman"/>
          <w:sz w:val="24"/>
          <w:szCs w:val="24"/>
        </w:rPr>
        <w:t>ro-Posteriorly and vertically.</w:t>
      </w:r>
      <w:r w:rsidR="00985349" w:rsidRPr="005323C7">
        <w:rPr>
          <w:rFonts w:ascii="Times New Roman" w:hAnsi="Times New Roman" w:cs="Times New Roman"/>
          <w:sz w:val="24"/>
          <w:szCs w:val="24"/>
          <w:vertAlign w:val="superscript"/>
        </w:rPr>
        <w:t>2</w:t>
      </w:r>
    </w:p>
    <w:p w:rsidR="00B72969" w:rsidRPr="005323C7" w:rsidRDefault="00E4227C" w:rsidP="005323C7">
      <w:pPr>
        <w:pStyle w:val="NoSpacing"/>
        <w:jc w:val="both"/>
        <w:rPr>
          <w:rFonts w:ascii="Times New Roman" w:hAnsi="Times New Roman" w:cs="Times New Roman"/>
          <w:sz w:val="24"/>
          <w:szCs w:val="24"/>
          <w:vertAlign w:val="superscript"/>
        </w:rPr>
      </w:pPr>
      <w:r w:rsidRPr="005323C7">
        <w:rPr>
          <w:rFonts w:ascii="Times New Roman" w:hAnsi="Times New Roman" w:cs="Times New Roman"/>
          <w:sz w:val="24"/>
          <w:szCs w:val="24"/>
        </w:rPr>
        <w:t>T</w:t>
      </w:r>
      <w:r w:rsidR="00B72969" w:rsidRPr="005323C7">
        <w:rPr>
          <w:rFonts w:ascii="Times New Roman" w:hAnsi="Times New Roman" w:cs="Times New Roman"/>
          <w:sz w:val="24"/>
          <w:szCs w:val="24"/>
        </w:rPr>
        <w:t xml:space="preserve">he facial </w:t>
      </w:r>
      <w:r w:rsidR="00471DA0" w:rsidRPr="005323C7">
        <w:rPr>
          <w:rFonts w:ascii="Times New Roman" w:hAnsi="Times New Roman" w:cs="Times New Roman"/>
          <w:sz w:val="24"/>
          <w:szCs w:val="24"/>
        </w:rPr>
        <w:t>height of young adult subject is</w:t>
      </w:r>
      <w:r w:rsidR="00B72969" w:rsidRPr="005323C7">
        <w:rPr>
          <w:rFonts w:ascii="Times New Roman" w:hAnsi="Times New Roman" w:cs="Times New Roman"/>
          <w:sz w:val="24"/>
          <w:szCs w:val="24"/>
        </w:rPr>
        <w:t xml:space="preserve"> regarded a potential determinant in developing the facial harmony and the esthetic. Moreover, they are essential factor</w:t>
      </w:r>
      <w:r w:rsidR="001676C5" w:rsidRPr="005323C7">
        <w:rPr>
          <w:rFonts w:ascii="Times New Roman" w:hAnsi="Times New Roman" w:cs="Times New Roman"/>
          <w:sz w:val="24"/>
          <w:szCs w:val="24"/>
        </w:rPr>
        <w:t>s in designing the facial type.</w:t>
      </w:r>
      <w:r w:rsidR="00985349" w:rsidRPr="005323C7">
        <w:rPr>
          <w:rFonts w:ascii="Times New Roman" w:hAnsi="Times New Roman" w:cs="Times New Roman"/>
          <w:sz w:val="24"/>
          <w:szCs w:val="24"/>
          <w:vertAlign w:val="superscript"/>
        </w:rPr>
        <w:t>3</w:t>
      </w:r>
    </w:p>
    <w:p w:rsidR="00B72969" w:rsidRPr="005323C7" w:rsidRDefault="00B72969" w:rsidP="005323C7">
      <w:pPr>
        <w:pStyle w:val="NoSpacing"/>
        <w:jc w:val="both"/>
        <w:rPr>
          <w:rFonts w:ascii="Times New Roman" w:hAnsi="Times New Roman" w:cs="Times New Roman"/>
          <w:sz w:val="24"/>
          <w:szCs w:val="24"/>
          <w:vertAlign w:val="superscript"/>
        </w:rPr>
      </w:pPr>
      <w:r w:rsidRPr="005323C7">
        <w:rPr>
          <w:rFonts w:ascii="Times New Roman" w:hAnsi="Times New Roman" w:cs="Times New Roman"/>
          <w:sz w:val="24"/>
          <w:szCs w:val="24"/>
        </w:rPr>
        <w:t xml:space="preserve">The lower facial height is an important component of face. </w:t>
      </w:r>
      <w:proofErr w:type="gramStart"/>
      <w:r w:rsidRPr="005323C7">
        <w:rPr>
          <w:rFonts w:ascii="Times New Roman" w:hAnsi="Times New Roman" w:cs="Times New Roman"/>
          <w:sz w:val="24"/>
          <w:szCs w:val="24"/>
        </w:rPr>
        <w:t>patient</w:t>
      </w:r>
      <w:proofErr w:type="gramEnd"/>
      <w:r w:rsidRPr="005323C7">
        <w:rPr>
          <w:rFonts w:ascii="Times New Roman" w:hAnsi="Times New Roman" w:cs="Times New Roman"/>
          <w:sz w:val="24"/>
          <w:szCs w:val="24"/>
        </w:rPr>
        <w:t xml:space="preserve"> with different malocclusions present with varying lower anterior facial heights.</w:t>
      </w:r>
      <w:r w:rsidR="00985349" w:rsidRPr="005323C7">
        <w:rPr>
          <w:rFonts w:ascii="Times New Roman" w:hAnsi="Times New Roman" w:cs="Times New Roman"/>
          <w:sz w:val="24"/>
          <w:szCs w:val="24"/>
          <w:vertAlign w:val="superscript"/>
        </w:rPr>
        <w:t>4</w:t>
      </w:r>
      <w:r w:rsidRPr="005323C7">
        <w:rPr>
          <w:rFonts w:ascii="Times New Roman" w:hAnsi="Times New Roman" w:cs="Times New Roman"/>
          <w:sz w:val="24"/>
          <w:szCs w:val="24"/>
        </w:rPr>
        <w:t xml:space="preserve"> The facial height distance is potentially affected by the more increment or reduction through the compensatory growth pattern of the </w:t>
      </w:r>
      <w:proofErr w:type="spellStart"/>
      <w:r w:rsidRPr="005323C7">
        <w:rPr>
          <w:rFonts w:ascii="Times New Roman" w:hAnsi="Times New Roman" w:cs="Times New Roman"/>
          <w:sz w:val="24"/>
          <w:szCs w:val="24"/>
        </w:rPr>
        <w:t>basoalveolar</w:t>
      </w:r>
      <w:proofErr w:type="spellEnd"/>
      <w:r w:rsidRPr="005323C7">
        <w:rPr>
          <w:rFonts w:ascii="Times New Roman" w:hAnsi="Times New Roman" w:cs="Times New Roman"/>
          <w:sz w:val="24"/>
          <w:szCs w:val="24"/>
        </w:rPr>
        <w:t xml:space="preserve"> bone, and the dental eruption. The divergent growth pattern of the facial bones permits the vertical growth of the </w:t>
      </w:r>
      <w:proofErr w:type="spellStart"/>
      <w:r w:rsidRPr="005323C7">
        <w:rPr>
          <w:rFonts w:ascii="Times New Roman" w:hAnsi="Times New Roman" w:cs="Times New Roman"/>
          <w:sz w:val="24"/>
          <w:szCs w:val="24"/>
        </w:rPr>
        <w:t>dentoalveolar</w:t>
      </w:r>
      <w:proofErr w:type="spellEnd"/>
      <w:r w:rsidRPr="005323C7">
        <w:rPr>
          <w:rFonts w:ascii="Times New Roman" w:hAnsi="Times New Roman" w:cs="Times New Roman"/>
          <w:sz w:val="24"/>
          <w:szCs w:val="24"/>
        </w:rPr>
        <w:t xml:space="preserve"> components.</w:t>
      </w:r>
      <w:r w:rsidR="001676C5" w:rsidRPr="005323C7">
        <w:rPr>
          <w:rFonts w:ascii="Times New Roman" w:hAnsi="Times New Roman" w:cs="Times New Roman"/>
          <w:sz w:val="24"/>
          <w:szCs w:val="24"/>
          <w:vertAlign w:val="superscript"/>
        </w:rPr>
        <w:t>5</w:t>
      </w:r>
    </w:p>
    <w:p w:rsidR="00B72969" w:rsidRPr="005323C7" w:rsidRDefault="00B72969" w:rsidP="005323C7">
      <w:pPr>
        <w:pStyle w:val="NoSpacing"/>
        <w:jc w:val="both"/>
        <w:rPr>
          <w:rFonts w:ascii="Times New Roman" w:hAnsi="Times New Roman" w:cs="Times New Roman"/>
          <w:sz w:val="24"/>
          <w:szCs w:val="24"/>
          <w:vertAlign w:val="superscript"/>
        </w:rPr>
      </w:pPr>
      <w:r w:rsidRPr="005323C7">
        <w:rPr>
          <w:rFonts w:ascii="Times New Roman" w:hAnsi="Times New Roman" w:cs="Times New Roman"/>
          <w:sz w:val="24"/>
          <w:szCs w:val="24"/>
        </w:rPr>
        <w:t xml:space="preserve">Vertical measurements in </w:t>
      </w:r>
      <w:proofErr w:type="spellStart"/>
      <w:r w:rsidRPr="005323C7">
        <w:rPr>
          <w:rFonts w:ascii="Times New Roman" w:hAnsi="Times New Roman" w:cs="Times New Roman"/>
          <w:sz w:val="24"/>
          <w:szCs w:val="24"/>
        </w:rPr>
        <w:t>cephalometric</w:t>
      </w:r>
      <w:proofErr w:type="spellEnd"/>
      <w:r w:rsidRPr="005323C7">
        <w:rPr>
          <w:rFonts w:ascii="Times New Roman" w:hAnsi="Times New Roman" w:cs="Times New Roman"/>
          <w:sz w:val="24"/>
          <w:szCs w:val="24"/>
        </w:rPr>
        <w:t xml:space="preserve"> analysis have received little attention because of large number of horizontal measurements, and few studies have been devoted directly to facial esthetics that would enable a person to distinguish which dimensions of face and teeth are responsible primarily for a pleasant or an unpleasant face. However the vertical relationships of jaws with the rest of the face have obvious clinical importance in cases of severe ope</w:t>
      </w:r>
      <w:r w:rsidR="001676C5" w:rsidRPr="005323C7">
        <w:rPr>
          <w:rFonts w:ascii="Times New Roman" w:hAnsi="Times New Roman" w:cs="Times New Roman"/>
          <w:sz w:val="24"/>
          <w:szCs w:val="24"/>
        </w:rPr>
        <w:t>n bite and cases of deep bite.</w:t>
      </w:r>
      <w:r w:rsidR="001676C5" w:rsidRPr="005323C7">
        <w:rPr>
          <w:rFonts w:ascii="Times New Roman" w:hAnsi="Times New Roman" w:cs="Times New Roman"/>
          <w:sz w:val="24"/>
          <w:szCs w:val="24"/>
          <w:vertAlign w:val="superscript"/>
        </w:rPr>
        <w:t>6</w:t>
      </w:r>
    </w:p>
    <w:p w:rsidR="00B72969" w:rsidRPr="005323C7" w:rsidRDefault="00B72969" w:rsidP="005323C7">
      <w:pPr>
        <w:pStyle w:val="NoSpacing"/>
        <w:jc w:val="both"/>
        <w:rPr>
          <w:rFonts w:ascii="Times New Roman" w:hAnsi="Times New Roman" w:cs="Times New Roman"/>
          <w:sz w:val="24"/>
          <w:szCs w:val="24"/>
          <w:vertAlign w:val="superscript"/>
        </w:rPr>
      </w:pPr>
      <w:r w:rsidRPr="005323C7">
        <w:rPr>
          <w:rFonts w:ascii="Times New Roman" w:hAnsi="Times New Roman" w:cs="Times New Roman"/>
          <w:sz w:val="24"/>
          <w:szCs w:val="24"/>
        </w:rPr>
        <w:t xml:space="preserve">In the </w:t>
      </w:r>
      <w:proofErr w:type="spellStart"/>
      <w:r w:rsidRPr="005323C7">
        <w:rPr>
          <w:rFonts w:ascii="Times New Roman" w:hAnsi="Times New Roman" w:cs="Times New Roman"/>
          <w:sz w:val="24"/>
          <w:szCs w:val="24"/>
        </w:rPr>
        <w:t>cephalometric</w:t>
      </w:r>
      <w:proofErr w:type="spellEnd"/>
      <w:r w:rsidRPr="005323C7">
        <w:rPr>
          <w:rFonts w:ascii="Times New Roman" w:hAnsi="Times New Roman" w:cs="Times New Roman"/>
          <w:sz w:val="24"/>
          <w:szCs w:val="24"/>
        </w:rPr>
        <w:t xml:space="preserve"> literature it has become increasingly clear that the </w:t>
      </w:r>
      <w:proofErr w:type="spellStart"/>
      <w:r w:rsidRPr="005323C7">
        <w:rPr>
          <w:rFonts w:ascii="Times New Roman" w:hAnsi="Times New Roman" w:cs="Times New Roman"/>
          <w:sz w:val="24"/>
          <w:szCs w:val="24"/>
        </w:rPr>
        <w:t>cephalometric</w:t>
      </w:r>
      <w:proofErr w:type="spellEnd"/>
      <w:r w:rsidRPr="005323C7">
        <w:rPr>
          <w:rFonts w:ascii="Times New Roman" w:hAnsi="Times New Roman" w:cs="Times New Roman"/>
          <w:sz w:val="24"/>
          <w:szCs w:val="24"/>
        </w:rPr>
        <w:t xml:space="preserve"> characteristics of a long or short face structure are predominantly located below the palatal plane.</w:t>
      </w:r>
      <w:r w:rsidR="00985349" w:rsidRPr="005323C7">
        <w:rPr>
          <w:rFonts w:ascii="Times New Roman" w:hAnsi="Times New Roman" w:cs="Times New Roman"/>
          <w:sz w:val="24"/>
          <w:szCs w:val="24"/>
          <w:vertAlign w:val="superscript"/>
        </w:rPr>
        <w:t>7</w:t>
      </w:r>
      <w:r w:rsidRPr="005323C7">
        <w:rPr>
          <w:rFonts w:ascii="Times New Roman" w:hAnsi="Times New Roman" w:cs="Times New Roman"/>
          <w:sz w:val="24"/>
          <w:szCs w:val="24"/>
        </w:rPr>
        <w:t xml:space="preserve"> Vertical growth of the maxilla has much relevant importance and is closely associated with overall facial proportions and together with the growth of the maxillary posterior alveolar process is the primary cause of increase in anterior facial height.</w:t>
      </w:r>
      <w:r w:rsidR="00985349" w:rsidRPr="005323C7">
        <w:rPr>
          <w:rFonts w:ascii="Times New Roman" w:hAnsi="Times New Roman" w:cs="Times New Roman"/>
          <w:sz w:val="24"/>
          <w:szCs w:val="24"/>
          <w:vertAlign w:val="superscript"/>
        </w:rPr>
        <w:t>8</w:t>
      </w:r>
    </w:p>
    <w:p w:rsidR="00B72969" w:rsidRPr="005323C7" w:rsidRDefault="00B72969" w:rsidP="005323C7">
      <w:pPr>
        <w:pStyle w:val="NoSpacing"/>
        <w:jc w:val="both"/>
        <w:rPr>
          <w:rFonts w:ascii="Times New Roman" w:hAnsi="Times New Roman" w:cs="Times New Roman"/>
          <w:sz w:val="24"/>
          <w:szCs w:val="24"/>
          <w:vertAlign w:val="superscript"/>
        </w:rPr>
      </w:pPr>
      <w:r w:rsidRPr="005323C7">
        <w:rPr>
          <w:rFonts w:ascii="Times New Roman" w:hAnsi="Times New Roman" w:cs="Times New Roman"/>
          <w:sz w:val="24"/>
          <w:szCs w:val="24"/>
        </w:rPr>
        <w:t xml:space="preserve">The alveolar structure is a flexible area located between the facial skeleton and </w:t>
      </w:r>
      <w:proofErr w:type="spellStart"/>
      <w:r w:rsidRPr="005323C7">
        <w:rPr>
          <w:rFonts w:ascii="Times New Roman" w:hAnsi="Times New Roman" w:cs="Times New Roman"/>
          <w:sz w:val="24"/>
          <w:szCs w:val="24"/>
        </w:rPr>
        <w:t>occlusal</w:t>
      </w:r>
      <w:proofErr w:type="spellEnd"/>
      <w:r w:rsidRPr="005323C7">
        <w:rPr>
          <w:rFonts w:ascii="Times New Roman" w:hAnsi="Times New Roman" w:cs="Times New Roman"/>
          <w:sz w:val="24"/>
          <w:szCs w:val="24"/>
        </w:rPr>
        <w:t xml:space="preserve"> dynami</w:t>
      </w:r>
      <w:r w:rsidR="00A32C6E" w:rsidRPr="005323C7">
        <w:rPr>
          <w:rFonts w:ascii="Times New Roman" w:hAnsi="Times New Roman" w:cs="Times New Roman"/>
          <w:sz w:val="24"/>
          <w:szCs w:val="24"/>
        </w:rPr>
        <w:t>cs. Maintaining its growth for m</w:t>
      </w:r>
      <w:r w:rsidRPr="005323C7">
        <w:rPr>
          <w:rFonts w:ascii="Times New Roman" w:hAnsi="Times New Roman" w:cs="Times New Roman"/>
          <w:sz w:val="24"/>
          <w:szCs w:val="24"/>
        </w:rPr>
        <w:t>any years, this</w:t>
      </w:r>
      <w:r w:rsidR="00A32C6E" w:rsidRPr="005323C7">
        <w:rPr>
          <w:rFonts w:ascii="Times New Roman" w:hAnsi="Times New Roman" w:cs="Times New Roman"/>
          <w:sz w:val="24"/>
          <w:szCs w:val="24"/>
        </w:rPr>
        <w:t xml:space="preserve"> structure tries to establish an</w:t>
      </w:r>
      <w:r w:rsidRPr="005323C7">
        <w:rPr>
          <w:rFonts w:ascii="Times New Roman" w:hAnsi="Times New Roman" w:cs="Times New Roman"/>
          <w:sz w:val="24"/>
          <w:szCs w:val="24"/>
        </w:rPr>
        <w:t xml:space="preserve">d maintain </w:t>
      </w:r>
      <w:proofErr w:type="spellStart"/>
      <w:r w:rsidRPr="005323C7">
        <w:rPr>
          <w:rFonts w:ascii="Times New Roman" w:hAnsi="Times New Roman" w:cs="Times New Roman"/>
          <w:sz w:val="24"/>
          <w:szCs w:val="24"/>
        </w:rPr>
        <w:t>occlusal</w:t>
      </w:r>
      <w:proofErr w:type="spellEnd"/>
      <w:r w:rsidRPr="005323C7">
        <w:rPr>
          <w:rFonts w:ascii="Times New Roman" w:hAnsi="Times New Roman" w:cs="Times New Roman"/>
          <w:sz w:val="24"/>
          <w:szCs w:val="24"/>
        </w:rPr>
        <w:t xml:space="preserve"> relationships on the basis of changing mandibular and maxillary relationship.</w:t>
      </w:r>
      <w:r w:rsidR="00985349" w:rsidRPr="005323C7">
        <w:rPr>
          <w:rFonts w:ascii="Times New Roman" w:hAnsi="Times New Roman" w:cs="Times New Roman"/>
          <w:sz w:val="24"/>
          <w:szCs w:val="24"/>
          <w:vertAlign w:val="superscript"/>
        </w:rPr>
        <w:t>9</w:t>
      </w:r>
    </w:p>
    <w:p w:rsidR="00B72969" w:rsidRPr="005323C7" w:rsidRDefault="00B72969" w:rsidP="005323C7">
      <w:pPr>
        <w:pStyle w:val="NoSpacing"/>
        <w:jc w:val="both"/>
        <w:rPr>
          <w:rFonts w:ascii="Times New Roman" w:hAnsi="Times New Roman" w:cs="Times New Roman"/>
          <w:sz w:val="24"/>
          <w:szCs w:val="24"/>
          <w:vertAlign w:val="superscript"/>
        </w:rPr>
      </w:pPr>
      <w:r w:rsidRPr="005323C7">
        <w:rPr>
          <w:rFonts w:ascii="Times New Roman" w:hAnsi="Times New Roman" w:cs="Times New Roman"/>
          <w:sz w:val="24"/>
          <w:szCs w:val="24"/>
        </w:rPr>
        <w:t>The growth of condyle and alveolar process act as final equalizing factors; and the upper and lower dental and alveolar arches can be considered as a kind of flexible ribbon, adapted to varying jaw relationships and flexible ribbon, adapted to varying jaw relationships and thereby maintaining the normal relationship between dental arches for aesthetics and function.</w:t>
      </w:r>
    </w:p>
    <w:p w:rsidR="00B72969" w:rsidRPr="005323C7" w:rsidRDefault="00B72969" w:rsidP="005323C7">
      <w:pPr>
        <w:pStyle w:val="NoSpacing"/>
        <w:jc w:val="both"/>
        <w:rPr>
          <w:rFonts w:ascii="Times New Roman" w:hAnsi="Times New Roman" w:cs="Times New Roman"/>
          <w:sz w:val="24"/>
          <w:szCs w:val="24"/>
          <w:vertAlign w:val="superscript"/>
        </w:rPr>
      </w:pPr>
      <w:r w:rsidRPr="005323C7">
        <w:rPr>
          <w:rFonts w:ascii="Times New Roman" w:hAnsi="Times New Roman" w:cs="Times New Roman"/>
          <w:sz w:val="24"/>
          <w:szCs w:val="24"/>
        </w:rPr>
        <w:t xml:space="preserve">The proper diagnosis and classification of individual patients is of paramount importance for successful treatment planning in orthodontics. Such a diagnosis includes careful evaluation of the </w:t>
      </w:r>
      <w:proofErr w:type="spellStart"/>
      <w:r w:rsidRPr="005323C7">
        <w:rPr>
          <w:rFonts w:ascii="Times New Roman" w:hAnsi="Times New Roman" w:cs="Times New Roman"/>
          <w:sz w:val="24"/>
          <w:szCs w:val="24"/>
        </w:rPr>
        <w:t>dento</w:t>
      </w:r>
      <w:proofErr w:type="spellEnd"/>
      <w:r w:rsidRPr="005323C7">
        <w:rPr>
          <w:rFonts w:ascii="Times New Roman" w:hAnsi="Times New Roman" w:cs="Times New Roman"/>
          <w:sz w:val="24"/>
          <w:szCs w:val="24"/>
        </w:rPr>
        <w:t xml:space="preserve">-facial complex in the </w:t>
      </w:r>
      <w:proofErr w:type="spellStart"/>
      <w:r w:rsidRPr="005323C7">
        <w:rPr>
          <w:rFonts w:ascii="Times New Roman" w:hAnsi="Times New Roman" w:cs="Times New Roman"/>
          <w:sz w:val="24"/>
          <w:szCs w:val="24"/>
        </w:rPr>
        <w:t>anteroposterior</w:t>
      </w:r>
      <w:proofErr w:type="spellEnd"/>
      <w:r w:rsidRPr="005323C7">
        <w:rPr>
          <w:rFonts w:ascii="Times New Roman" w:hAnsi="Times New Roman" w:cs="Times New Roman"/>
          <w:sz w:val="24"/>
          <w:szCs w:val="24"/>
        </w:rPr>
        <w:t>, transverse, and vertical dimensions. Skeletal dysplasia in any dimension typically complicates treatment, and may implicitly warrant or preclude certain treatments. Malocclusions of a skeletal nature can be especially difficult to treat, and therefore are particularly important to diagnose correctly.</w:t>
      </w:r>
      <w:r w:rsidR="00CB007E" w:rsidRPr="005323C7">
        <w:rPr>
          <w:rFonts w:ascii="Times New Roman" w:hAnsi="Times New Roman" w:cs="Times New Roman"/>
          <w:sz w:val="24"/>
          <w:szCs w:val="24"/>
          <w:vertAlign w:val="superscript"/>
        </w:rPr>
        <w:t>10</w:t>
      </w:r>
      <w:r w:rsidRPr="005323C7">
        <w:rPr>
          <w:rFonts w:ascii="Times New Roman" w:hAnsi="Times New Roman" w:cs="Times New Roman"/>
          <w:sz w:val="24"/>
          <w:szCs w:val="24"/>
        </w:rPr>
        <w:t xml:space="preserve"> Evaluation of facial proportions and aesthetics should be conducted during clinical examination and the findings should be compared w</w:t>
      </w:r>
      <w:r w:rsidR="001676C5" w:rsidRPr="005323C7">
        <w:rPr>
          <w:rFonts w:ascii="Times New Roman" w:hAnsi="Times New Roman" w:cs="Times New Roman"/>
          <w:sz w:val="24"/>
          <w:szCs w:val="24"/>
        </w:rPr>
        <w:t xml:space="preserve">ith </w:t>
      </w:r>
      <w:proofErr w:type="spellStart"/>
      <w:r w:rsidR="001676C5" w:rsidRPr="005323C7">
        <w:rPr>
          <w:rFonts w:ascii="Times New Roman" w:hAnsi="Times New Roman" w:cs="Times New Roman"/>
          <w:sz w:val="24"/>
          <w:szCs w:val="24"/>
        </w:rPr>
        <w:t>cephalometric</w:t>
      </w:r>
      <w:proofErr w:type="spellEnd"/>
      <w:r w:rsidR="001676C5" w:rsidRPr="005323C7">
        <w:rPr>
          <w:rFonts w:ascii="Times New Roman" w:hAnsi="Times New Roman" w:cs="Times New Roman"/>
          <w:sz w:val="24"/>
          <w:szCs w:val="24"/>
        </w:rPr>
        <w:t xml:space="preserve"> radiographs.</w:t>
      </w:r>
      <w:r w:rsidR="00CB007E" w:rsidRPr="005323C7">
        <w:rPr>
          <w:rFonts w:ascii="Times New Roman" w:hAnsi="Times New Roman" w:cs="Times New Roman"/>
          <w:sz w:val="24"/>
          <w:szCs w:val="24"/>
          <w:vertAlign w:val="superscript"/>
        </w:rPr>
        <w:t>11</w:t>
      </w:r>
    </w:p>
    <w:p w:rsidR="006E6716" w:rsidRPr="005323C7" w:rsidRDefault="00B72969" w:rsidP="005323C7">
      <w:pPr>
        <w:pStyle w:val="NoSpacing"/>
        <w:jc w:val="both"/>
        <w:rPr>
          <w:rFonts w:ascii="Times New Roman" w:hAnsi="Times New Roman" w:cs="Times New Roman"/>
          <w:sz w:val="24"/>
          <w:szCs w:val="24"/>
        </w:rPr>
      </w:pPr>
      <w:r w:rsidRPr="005323C7">
        <w:rPr>
          <w:rFonts w:ascii="Times New Roman" w:hAnsi="Times New Roman" w:cs="Times New Roman"/>
          <w:sz w:val="24"/>
          <w:szCs w:val="24"/>
        </w:rPr>
        <w:t xml:space="preserve">Clinical crown height is a type of dental height which is usually measured to determine the dimension of a tooth. Both clinical crown height and facial height are affected by both genetic and </w:t>
      </w:r>
      <w:r w:rsidR="001676C5" w:rsidRPr="005323C7">
        <w:rPr>
          <w:rFonts w:ascii="Times New Roman" w:hAnsi="Times New Roman" w:cs="Times New Roman"/>
          <w:sz w:val="24"/>
          <w:szCs w:val="24"/>
        </w:rPr>
        <w:t>environmental factors.</w:t>
      </w:r>
      <w:r w:rsidR="00985349" w:rsidRPr="005323C7">
        <w:rPr>
          <w:rFonts w:ascii="Times New Roman" w:hAnsi="Times New Roman" w:cs="Times New Roman"/>
          <w:sz w:val="24"/>
          <w:szCs w:val="24"/>
          <w:vertAlign w:val="superscript"/>
        </w:rPr>
        <w:t xml:space="preserve"> </w:t>
      </w:r>
      <w:r w:rsidRPr="005323C7">
        <w:rPr>
          <w:rFonts w:ascii="Times New Roman" w:hAnsi="Times New Roman" w:cs="Times New Roman"/>
          <w:sz w:val="24"/>
          <w:szCs w:val="24"/>
        </w:rPr>
        <w:t xml:space="preserve"> The greater molar height can be influenced by different facia</w:t>
      </w:r>
      <w:r w:rsidR="006E6716" w:rsidRPr="005323C7">
        <w:rPr>
          <w:rFonts w:ascii="Times New Roman" w:hAnsi="Times New Roman" w:cs="Times New Roman"/>
          <w:sz w:val="24"/>
          <w:szCs w:val="24"/>
        </w:rPr>
        <w:t>l growth types and directions.</w:t>
      </w:r>
    </w:p>
    <w:p w:rsidR="00B72969" w:rsidRDefault="006E6716" w:rsidP="005323C7">
      <w:pPr>
        <w:pStyle w:val="NoSpacing"/>
        <w:jc w:val="both"/>
        <w:rPr>
          <w:rFonts w:ascii="Times New Roman" w:hAnsi="Times New Roman" w:cs="Times New Roman"/>
          <w:sz w:val="24"/>
          <w:szCs w:val="24"/>
        </w:rPr>
      </w:pPr>
      <w:r w:rsidRPr="005323C7">
        <w:rPr>
          <w:rFonts w:ascii="Times New Roman" w:hAnsi="Times New Roman" w:cs="Times New Roman"/>
          <w:sz w:val="24"/>
          <w:szCs w:val="24"/>
        </w:rPr>
        <w:lastRenderedPageBreak/>
        <w:t>T</w:t>
      </w:r>
      <w:r w:rsidR="00A32C6E" w:rsidRPr="005323C7">
        <w:rPr>
          <w:rFonts w:ascii="Times New Roman" w:hAnsi="Times New Roman" w:cs="Times New Roman"/>
          <w:sz w:val="24"/>
          <w:szCs w:val="24"/>
        </w:rPr>
        <w:t>he aim</w:t>
      </w:r>
      <w:r w:rsidR="00B72969" w:rsidRPr="005323C7">
        <w:rPr>
          <w:rFonts w:ascii="Times New Roman" w:hAnsi="Times New Roman" w:cs="Times New Roman"/>
          <w:sz w:val="24"/>
          <w:szCs w:val="24"/>
        </w:rPr>
        <w:t xml:space="preserve"> of our study was to determine whether a correlation existed between clinical crown height of maxillary and mandibular right permanent incisor, molar and lower facial height cl</w:t>
      </w:r>
      <w:r w:rsidR="006A262C">
        <w:rPr>
          <w:rFonts w:ascii="Times New Roman" w:hAnsi="Times New Roman" w:cs="Times New Roman"/>
          <w:sz w:val="24"/>
          <w:szCs w:val="24"/>
        </w:rPr>
        <w:t xml:space="preserve">inically and </w:t>
      </w:r>
      <w:proofErr w:type="spellStart"/>
      <w:r w:rsidR="006A262C">
        <w:rPr>
          <w:rFonts w:ascii="Times New Roman" w:hAnsi="Times New Roman" w:cs="Times New Roman"/>
          <w:sz w:val="24"/>
          <w:szCs w:val="24"/>
        </w:rPr>
        <w:t>cephalometrically</w:t>
      </w:r>
      <w:proofErr w:type="spellEnd"/>
      <w:r w:rsidR="006A262C">
        <w:rPr>
          <w:rFonts w:ascii="Times New Roman" w:hAnsi="Times New Roman" w:cs="Times New Roman"/>
          <w:sz w:val="24"/>
          <w:szCs w:val="24"/>
        </w:rPr>
        <w:t>.</w:t>
      </w:r>
    </w:p>
    <w:p w:rsidR="006A262C" w:rsidRPr="005323C7" w:rsidRDefault="006A262C" w:rsidP="005323C7">
      <w:pPr>
        <w:pStyle w:val="NoSpacing"/>
        <w:jc w:val="both"/>
        <w:rPr>
          <w:rFonts w:ascii="Times New Roman" w:hAnsi="Times New Roman" w:cs="Times New Roman"/>
          <w:sz w:val="24"/>
          <w:szCs w:val="24"/>
        </w:rPr>
      </w:pPr>
    </w:p>
    <w:p w:rsidR="00D550A0" w:rsidRPr="00533A80" w:rsidRDefault="00D550A0" w:rsidP="00B86DBA">
      <w:pPr>
        <w:spacing w:line="240" w:lineRule="auto"/>
        <w:jc w:val="both"/>
        <w:rPr>
          <w:rFonts w:ascii="Times New Roman" w:hAnsi="Times New Roman" w:cs="Times New Roman"/>
          <w:b/>
          <w:sz w:val="24"/>
          <w:szCs w:val="24"/>
        </w:rPr>
      </w:pPr>
      <w:r w:rsidRPr="00533A80">
        <w:rPr>
          <w:rFonts w:ascii="Times New Roman" w:hAnsi="Times New Roman" w:cs="Times New Roman"/>
          <w:b/>
          <w:sz w:val="24"/>
          <w:szCs w:val="24"/>
        </w:rPr>
        <w:t>Material and methods</w:t>
      </w:r>
    </w:p>
    <w:p w:rsidR="00D550A0" w:rsidRPr="00533A80" w:rsidRDefault="00D550A0" w:rsidP="00B86DBA">
      <w:pPr>
        <w:spacing w:line="240" w:lineRule="auto"/>
        <w:jc w:val="both"/>
        <w:rPr>
          <w:b/>
          <w:sz w:val="24"/>
          <w:szCs w:val="24"/>
        </w:rPr>
      </w:pPr>
      <w:r w:rsidRPr="00533A80">
        <w:rPr>
          <w:b/>
          <w:sz w:val="24"/>
          <w:szCs w:val="24"/>
        </w:rPr>
        <w:t xml:space="preserve">SOURCE OF </w:t>
      </w:r>
      <w:proofErr w:type="gramStart"/>
      <w:r w:rsidRPr="00533A80">
        <w:rPr>
          <w:b/>
          <w:sz w:val="24"/>
          <w:szCs w:val="24"/>
        </w:rPr>
        <w:t>DATA :</w:t>
      </w:r>
      <w:proofErr w:type="gramEnd"/>
    </w:p>
    <w:p w:rsidR="00D550A0" w:rsidRPr="00533A80" w:rsidRDefault="00E4227C" w:rsidP="00B86DBA">
      <w:pPr>
        <w:spacing w:line="240" w:lineRule="auto"/>
        <w:jc w:val="both"/>
        <w:rPr>
          <w:rFonts w:ascii="Times New Roman" w:hAnsi="Times New Roman" w:cs="Times New Roman"/>
          <w:sz w:val="24"/>
          <w:szCs w:val="24"/>
        </w:rPr>
      </w:pPr>
      <w:r>
        <w:rPr>
          <w:rFonts w:ascii="Times New Roman" w:hAnsi="Times New Roman" w:cs="Times New Roman"/>
          <w:sz w:val="24"/>
          <w:szCs w:val="24"/>
        </w:rPr>
        <w:t>S</w:t>
      </w:r>
      <w:r w:rsidR="00C4314C">
        <w:rPr>
          <w:rFonts w:ascii="Times New Roman" w:hAnsi="Times New Roman" w:cs="Times New Roman"/>
          <w:sz w:val="24"/>
          <w:szCs w:val="24"/>
        </w:rPr>
        <w:t xml:space="preserve">tudy sample </w:t>
      </w:r>
      <w:r>
        <w:rPr>
          <w:rFonts w:ascii="Times New Roman" w:hAnsi="Times New Roman" w:cs="Times New Roman"/>
          <w:sz w:val="24"/>
          <w:szCs w:val="24"/>
        </w:rPr>
        <w:t>consist</w:t>
      </w:r>
      <w:r w:rsidR="00C4314C">
        <w:rPr>
          <w:rFonts w:ascii="Times New Roman" w:hAnsi="Times New Roman" w:cs="Times New Roman"/>
          <w:sz w:val="24"/>
          <w:szCs w:val="24"/>
        </w:rPr>
        <w:t>ed</w:t>
      </w:r>
      <w:r>
        <w:rPr>
          <w:rFonts w:ascii="Times New Roman" w:hAnsi="Times New Roman" w:cs="Times New Roman"/>
          <w:sz w:val="24"/>
          <w:szCs w:val="24"/>
        </w:rPr>
        <w:t xml:space="preserve"> of 18</w:t>
      </w:r>
      <w:r w:rsidR="00D550A0" w:rsidRPr="00533A80">
        <w:rPr>
          <w:rFonts w:ascii="Times New Roman" w:hAnsi="Times New Roman" w:cs="Times New Roman"/>
          <w:sz w:val="24"/>
          <w:szCs w:val="24"/>
        </w:rPr>
        <w:t xml:space="preserve">0 patients reporting to the Department of Orthodontics &amp; </w:t>
      </w:r>
      <w:proofErr w:type="spellStart"/>
      <w:r w:rsidR="00D550A0" w:rsidRPr="00533A80">
        <w:rPr>
          <w:rFonts w:ascii="Times New Roman" w:hAnsi="Times New Roman" w:cs="Times New Roman"/>
          <w:sz w:val="24"/>
          <w:szCs w:val="24"/>
        </w:rPr>
        <w:t>Dentofacial</w:t>
      </w:r>
      <w:proofErr w:type="spellEnd"/>
      <w:r w:rsidR="00D550A0" w:rsidRPr="00533A80">
        <w:rPr>
          <w:rFonts w:ascii="Times New Roman" w:hAnsi="Times New Roman" w:cs="Times New Roman"/>
          <w:sz w:val="24"/>
          <w:szCs w:val="24"/>
        </w:rPr>
        <w:t xml:space="preserve"> Orthopedics, </w:t>
      </w:r>
      <w:proofErr w:type="spellStart"/>
      <w:r w:rsidR="00D550A0" w:rsidRPr="00533A80">
        <w:rPr>
          <w:rFonts w:ascii="Times New Roman" w:hAnsi="Times New Roman" w:cs="Times New Roman"/>
          <w:sz w:val="24"/>
          <w:szCs w:val="24"/>
        </w:rPr>
        <w:t>Darshan</w:t>
      </w:r>
      <w:proofErr w:type="spellEnd"/>
      <w:r w:rsidR="00D550A0" w:rsidRPr="00533A80">
        <w:rPr>
          <w:rFonts w:ascii="Times New Roman" w:hAnsi="Times New Roman" w:cs="Times New Roman"/>
          <w:sz w:val="24"/>
          <w:szCs w:val="24"/>
        </w:rPr>
        <w:t xml:space="preserve"> Dental College &amp; Hospital, Udaipur, </w:t>
      </w:r>
      <w:proofErr w:type="gramStart"/>
      <w:r w:rsidR="00D550A0" w:rsidRPr="00533A80">
        <w:rPr>
          <w:rFonts w:ascii="Times New Roman" w:hAnsi="Times New Roman" w:cs="Times New Roman"/>
          <w:sz w:val="24"/>
          <w:szCs w:val="24"/>
        </w:rPr>
        <w:t>Rajasthan</w:t>
      </w:r>
      <w:proofErr w:type="gramEnd"/>
      <w:r w:rsidR="00D550A0" w:rsidRPr="00533A80">
        <w:rPr>
          <w:rFonts w:ascii="Times New Roman" w:hAnsi="Times New Roman" w:cs="Times New Roman"/>
          <w:sz w:val="24"/>
          <w:szCs w:val="24"/>
        </w:rPr>
        <w:t>.</w:t>
      </w:r>
    </w:p>
    <w:p w:rsidR="00D550A0" w:rsidRPr="00533A80" w:rsidRDefault="00D550A0" w:rsidP="00B86DBA">
      <w:pPr>
        <w:spacing w:line="240" w:lineRule="auto"/>
        <w:jc w:val="both"/>
        <w:rPr>
          <w:rFonts w:ascii="Times New Roman" w:hAnsi="Times New Roman" w:cs="Times New Roman"/>
          <w:b/>
          <w:sz w:val="24"/>
          <w:szCs w:val="24"/>
        </w:rPr>
      </w:pPr>
      <w:r w:rsidRPr="00533A80">
        <w:rPr>
          <w:rFonts w:ascii="Times New Roman" w:hAnsi="Times New Roman" w:cs="Times New Roman"/>
          <w:b/>
          <w:sz w:val="24"/>
          <w:szCs w:val="24"/>
        </w:rPr>
        <w:t>INCLUSION CRITERIA:</w:t>
      </w:r>
    </w:p>
    <w:p w:rsidR="00D550A0" w:rsidRPr="00533A80" w:rsidRDefault="003C02A7" w:rsidP="00B86DB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Patient between 17 to </w:t>
      </w:r>
      <w:r w:rsidR="00D550A0" w:rsidRPr="00533A80">
        <w:rPr>
          <w:rFonts w:ascii="Times New Roman" w:hAnsi="Times New Roman" w:cs="Times New Roman"/>
          <w:sz w:val="24"/>
          <w:szCs w:val="24"/>
        </w:rPr>
        <w:t>25 years of age</w:t>
      </w:r>
    </w:p>
    <w:p w:rsidR="00D550A0" w:rsidRPr="00533A80" w:rsidRDefault="00D550A0" w:rsidP="00B86DBA">
      <w:pPr>
        <w:pStyle w:val="ListParagraph"/>
        <w:numPr>
          <w:ilvl w:val="0"/>
          <w:numId w:val="1"/>
        </w:numPr>
        <w:spacing w:line="240" w:lineRule="auto"/>
        <w:jc w:val="both"/>
        <w:rPr>
          <w:rFonts w:ascii="Times New Roman" w:hAnsi="Times New Roman" w:cs="Times New Roman"/>
          <w:sz w:val="24"/>
          <w:szCs w:val="24"/>
        </w:rPr>
      </w:pPr>
      <w:r w:rsidRPr="00533A80">
        <w:rPr>
          <w:rFonts w:ascii="Times New Roman" w:hAnsi="Times New Roman" w:cs="Times New Roman"/>
          <w:sz w:val="24"/>
          <w:szCs w:val="24"/>
        </w:rPr>
        <w:t>No missing teeth</w:t>
      </w:r>
    </w:p>
    <w:p w:rsidR="00312116" w:rsidRPr="00533A80" w:rsidRDefault="00312116" w:rsidP="00B86DBA">
      <w:pPr>
        <w:pStyle w:val="ListParagraph"/>
        <w:numPr>
          <w:ilvl w:val="0"/>
          <w:numId w:val="1"/>
        </w:numPr>
        <w:spacing w:line="240" w:lineRule="auto"/>
        <w:jc w:val="both"/>
        <w:rPr>
          <w:rFonts w:ascii="Times New Roman" w:hAnsi="Times New Roman" w:cs="Times New Roman"/>
          <w:sz w:val="24"/>
          <w:szCs w:val="24"/>
        </w:rPr>
      </w:pPr>
      <w:r w:rsidRPr="00533A80">
        <w:rPr>
          <w:rFonts w:ascii="Times New Roman" w:hAnsi="Times New Roman" w:cs="Times New Roman"/>
          <w:sz w:val="24"/>
          <w:szCs w:val="24"/>
        </w:rPr>
        <w:t>Full complement of teeth till permanent second molar</w:t>
      </w:r>
    </w:p>
    <w:p w:rsidR="00312116" w:rsidRPr="00533A80" w:rsidRDefault="00312116" w:rsidP="00B86DBA">
      <w:pPr>
        <w:pStyle w:val="ListParagraph"/>
        <w:numPr>
          <w:ilvl w:val="0"/>
          <w:numId w:val="1"/>
        </w:numPr>
        <w:spacing w:line="240" w:lineRule="auto"/>
        <w:jc w:val="both"/>
        <w:rPr>
          <w:rFonts w:ascii="Times New Roman" w:hAnsi="Times New Roman" w:cs="Times New Roman"/>
          <w:sz w:val="24"/>
          <w:szCs w:val="24"/>
        </w:rPr>
      </w:pPr>
      <w:r w:rsidRPr="00533A80">
        <w:rPr>
          <w:rFonts w:ascii="Times New Roman" w:hAnsi="Times New Roman" w:cs="Times New Roman"/>
          <w:sz w:val="24"/>
          <w:szCs w:val="24"/>
        </w:rPr>
        <w:t xml:space="preserve">Normal </w:t>
      </w:r>
      <w:proofErr w:type="spellStart"/>
      <w:r w:rsidRPr="00533A80">
        <w:rPr>
          <w:rFonts w:ascii="Times New Roman" w:hAnsi="Times New Roman" w:cs="Times New Roman"/>
          <w:sz w:val="24"/>
          <w:szCs w:val="24"/>
        </w:rPr>
        <w:t>overjet</w:t>
      </w:r>
      <w:proofErr w:type="spellEnd"/>
      <w:r w:rsidRPr="00533A80">
        <w:rPr>
          <w:rFonts w:ascii="Times New Roman" w:hAnsi="Times New Roman" w:cs="Times New Roman"/>
          <w:sz w:val="24"/>
          <w:szCs w:val="24"/>
        </w:rPr>
        <w:t xml:space="preserve">  &amp; overbite &amp; proportionate upper and lower facial height</w:t>
      </w:r>
    </w:p>
    <w:p w:rsidR="00D550A0" w:rsidRDefault="00D550A0" w:rsidP="00B86DBA">
      <w:pPr>
        <w:pStyle w:val="ListParagraph"/>
        <w:numPr>
          <w:ilvl w:val="0"/>
          <w:numId w:val="1"/>
        </w:numPr>
        <w:spacing w:line="240" w:lineRule="auto"/>
        <w:jc w:val="both"/>
        <w:rPr>
          <w:rFonts w:ascii="Times New Roman" w:hAnsi="Times New Roman" w:cs="Times New Roman"/>
          <w:sz w:val="24"/>
          <w:szCs w:val="24"/>
        </w:rPr>
      </w:pPr>
      <w:r w:rsidRPr="00533A80">
        <w:rPr>
          <w:rFonts w:ascii="Times New Roman" w:hAnsi="Times New Roman" w:cs="Times New Roman"/>
          <w:sz w:val="24"/>
          <w:szCs w:val="24"/>
        </w:rPr>
        <w:t>No history of previous orthodontic therapy</w:t>
      </w:r>
    </w:p>
    <w:p w:rsidR="00293EAD" w:rsidRDefault="00293EAD" w:rsidP="00B86DB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 history of trauma or surgery in the </w:t>
      </w:r>
      <w:proofErr w:type="spellStart"/>
      <w:r>
        <w:rPr>
          <w:rFonts w:ascii="Times New Roman" w:hAnsi="Times New Roman" w:cs="Times New Roman"/>
          <w:sz w:val="24"/>
          <w:szCs w:val="24"/>
        </w:rPr>
        <w:t>dentofacial</w:t>
      </w:r>
      <w:proofErr w:type="spellEnd"/>
      <w:r>
        <w:rPr>
          <w:rFonts w:ascii="Times New Roman" w:hAnsi="Times New Roman" w:cs="Times New Roman"/>
          <w:sz w:val="24"/>
          <w:szCs w:val="24"/>
        </w:rPr>
        <w:t xml:space="preserve"> region</w:t>
      </w:r>
    </w:p>
    <w:p w:rsidR="00293EAD" w:rsidRDefault="00293EAD" w:rsidP="00B86DB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No facial asymmetry</w:t>
      </w:r>
    </w:p>
    <w:p w:rsidR="00293EAD" w:rsidRPr="00293EAD" w:rsidRDefault="00293EAD" w:rsidP="00B86DBA">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Angle’s class I molar relationship</w:t>
      </w:r>
    </w:p>
    <w:p w:rsidR="00D550A0" w:rsidRPr="00533A80" w:rsidRDefault="00D550A0" w:rsidP="00B86DBA">
      <w:pPr>
        <w:spacing w:line="240" w:lineRule="auto"/>
        <w:jc w:val="both"/>
        <w:rPr>
          <w:rFonts w:ascii="Times New Roman" w:hAnsi="Times New Roman" w:cs="Times New Roman"/>
          <w:b/>
          <w:sz w:val="24"/>
          <w:szCs w:val="24"/>
        </w:rPr>
      </w:pPr>
      <w:r w:rsidRPr="00533A80">
        <w:rPr>
          <w:rFonts w:ascii="Times New Roman" w:hAnsi="Times New Roman" w:cs="Times New Roman"/>
          <w:b/>
          <w:sz w:val="24"/>
          <w:szCs w:val="24"/>
        </w:rPr>
        <w:t>EXCLUSION CRITERIA:</w:t>
      </w:r>
    </w:p>
    <w:p w:rsidR="00D550A0" w:rsidRPr="00533A80" w:rsidRDefault="00D550A0" w:rsidP="00B86DBA">
      <w:pPr>
        <w:pStyle w:val="ListParagraph"/>
        <w:numPr>
          <w:ilvl w:val="0"/>
          <w:numId w:val="2"/>
        </w:numPr>
        <w:spacing w:line="240" w:lineRule="auto"/>
        <w:jc w:val="both"/>
        <w:rPr>
          <w:rFonts w:ascii="Times New Roman" w:hAnsi="Times New Roman" w:cs="Times New Roman"/>
          <w:sz w:val="24"/>
          <w:szCs w:val="24"/>
        </w:rPr>
      </w:pPr>
      <w:r w:rsidRPr="00533A80">
        <w:rPr>
          <w:rFonts w:ascii="Times New Roman" w:hAnsi="Times New Roman" w:cs="Times New Roman"/>
          <w:sz w:val="24"/>
          <w:szCs w:val="24"/>
        </w:rPr>
        <w:t>Pre-pubertal patient</w:t>
      </w:r>
    </w:p>
    <w:p w:rsidR="00312116" w:rsidRPr="00533A80" w:rsidRDefault="00C4314C" w:rsidP="00B86DBA">
      <w:pPr>
        <w:pStyle w:val="ListParagraph"/>
        <w:numPr>
          <w:ilvl w:val="0"/>
          <w:numId w:val="2"/>
        </w:numPr>
        <w:spacing w:line="240" w:lineRule="auto"/>
        <w:jc w:val="both"/>
        <w:rPr>
          <w:rFonts w:ascii="Times New Roman" w:hAnsi="Times New Roman" w:cs="Times New Roman"/>
          <w:sz w:val="24"/>
          <w:szCs w:val="24"/>
        </w:rPr>
      </w:pPr>
      <w:r>
        <w:rPr>
          <w:rFonts w:ascii="Times New Roman" w:hAnsi="Times New Roman" w:cs="Times New Roman"/>
          <w:sz w:val="24"/>
          <w:szCs w:val="24"/>
        </w:rPr>
        <w:t>Patients associated with some syndrome</w:t>
      </w:r>
    </w:p>
    <w:p w:rsidR="00D550A0" w:rsidRPr="00533A80" w:rsidRDefault="00312116" w:rsidP="00B86DBA">
      <w:pPr>
        <w:pStyle w:val="ListParagraph"/>
        <w:numPr>
          <w:ilvl w:val="0"/>
          <w:numId w:val="2"/>
        </w:numPr>
        <w:spacing w:line="240" w:lineRule="auto"/>
        <w:jc w:val="both"/>
        <w:rPr>
          <w:rFonts w:ascii="Times New Roman" w:hAnsi="Times New Roman" w:cs="Times New Roman"/>
          <w:sz w:val="24"/>
          <w:szCs w:val="24"/>
        </w:rPr>
      </w:pPr>
      <w:r w:rsidRPr="00533A80">
        <w:rPr>
          <w:rFonts w:ascii="Times New Roman" w:hAnsi="Times New Roman" w:cs="Times New Roman"/>
          <w:sz w:val="24"/>
          <w:szCs w:val="24"/>
        </w:rPr>
        <w:t>Patients having any tooth agenesis or supernumeraries, developmental anomalies, traumatic injuries or fractured upper and lower incisors and molars, complex craniofacial deformities or syndromes</w:t>
      </w:r>
    </w:p>
    <w:p w:rsidR="00377045" w:rsidRDefault="003C02A7" w:rsidP="00985AE3">
      <w:pPr>
        <w:jc w:val="both"/>
        <w:rPr>
          <w:rFonts w:ascii="Times New Roman" w:hAnsi="Times New Roman" w:cs="Times New Roman"/>
          <w:b/>
          <w:sz w:val="24"/>
          <w:szCs w:val="24"/>
        </w:rPr>
      </w:pPr>
      <w:proofErr w:type="gramStart"/>
      <w:r>
        <w:rPr>
          <w:rFonts w:ascii="Times New Roman" w:hAnsi="Times New Roman" w:cs="Times New Roman"/>
          <w:b/>
          <w:sz w:val="24"/>
          <w:szCs w:val="24"/>
        </w:rPr>
        <w:t>Table 1.</w:t>
      </w:r>
      <w:proofErr w:type="gramEnd"/>
      <w:r>
        <w:rPr>
          <w:rFonts w:ascii="Times New Roman" w:hAnsi="Times New Roman" w:cs="Times New Roman"/>
          <w:b/>
          <w:sz w:val="24"/>
          <w:szCs w:val="24"/>
        </w:rPr>
        <w:t xml:space="preserve"> </w:t>
      </w:r>
      <w:r w:rsidR="008A4D76">
        <w:rPr>
          <w:rFonts w:ascii="Times New Roman" w:hAnsi="Times New Roman" w:cs="Times New Roman"/>
          <w:b/>
          <w:sz w:val="24"/>
          <w:szCs w:val="24"/>
        </w:rPr>
        <w:t xml:space="preserve">Sample division into vertical and horizontal facial types </w:t>
      </w:r>
      <w:r>
        <w:rPr>
          <w:rFonts w:ascii="Times New Roman" w:hAnsi="Times New Roman" w:cs="Times New Roman"/>
          <w:b/>
          <w:sz w:val="24"/>
          <w:szCs w:val="24"/>
        </w:rPr>
        <w:t xml:space="preserve">using </w:t>
      </w:r>
      <w:proofErr w:type="spellStart"/>
      <w:r>
        <w:rPr>
          <w:rFonts w:ascii="Times New Roman" w:hAnsi="Times New Roman" w:cs="Times New Roman"/>
          <w:b/>
          <w:sz w:val="24"/>
          <w:szCs w:val="24"/>
        </w:rPr>
        <w:t>jarabak’s</w:t>
      </w:r>
      <w:proofErr w:type="spellEnd"/>
      <w:r>
        <w:rPr>
          <w:rFonts w:ascii="Times New Roman" w:hAnsi="Times New Roman" w:cs="Times New Roman"/>
          <w:b/>
          <w:sz w:val="24"/>
          <w:szCs w:val="24"/>
        </w:rPr>
        <w:t xml:space="preserve"> ratio</w:t>
      </w:r>
    </w:p>
    <w:tbl>
      <w:tblPr>
        <w:tblStyle w:val="TableGrid"/>
        <w:tblW w:w="0" w:type="auto"/>
        <w:tblLook w:val="04A0" w:firstRow="1" w:lastRow="0" w:firstColumn="1" w:lastColumn="0" w:noHBand="0" w:noVBand="1"/>
      </w:tblPr>
      <w:tblGrid>
        <w:gridCol w:w="2394"/>
        <w:gridCol w:w="2394"/>
        <w:gridCol w:w="2394"/>
        <w:gridCol w:w="2394"/>
      </w:tblGrid>
      <w:tr w:rsidR="008A4D76" w:rsidTr="008A4D76">
        <w:tc>
          <w:tcPr>
            <w:tcW w:w="2394" w:type="dxa"/>
          </w:tcPr>
          <w:p w:rsidR="008A4D76" w:rsidRPr="008A4D76" w:rsidRDefault="008A4D76" w:rsidP="00985AE3">
            <w:pPr>
              <w:jc w:val="both"/>
              <w:rPr>
                <w:rFonts w:ascii="Times New Roman" w:hAnsi="Times New Roman" w:cs="Times New Roman"/>
                <w:b/>
                <w:sz w:val="24"/>
                <w:szCs w:val="24"/>
              </w:rPr>
            </w:pPr>
            <w:r w:rsidRPr="008A4D76">
              <w:rPr>
                <w:rFonts w:ascii="Times New Roman" w:hAnsi="Times New Roman" w:cs="Times New Roman"/>
                <w:b/>
                <w:sz w:val="24"/>
                <w:szCs w:val="24"/>
              </w:rPr>
              <w:t>Group</w:t>
            </w:r>
          </w:p>
        </w:tc>
        <w:tc>
          <w:tcPr>
            <w:tcW w:w="2394" w:type="dxa"/>
          </w:tcPr>
          <w:p w:rsidR="008A4D76" w:rsidRPr="008A4D76" w:rsidRDefault="003E3147" w:rsidP="00985AE3">
            <w:pPr>
              <w:jc w:val="both"/>
              <w:rPr>
                <w:rFonts w:ascii="Times New Roman" w:hAnsi="Times New Roman" w:cs="Times New Roman"/>
                <w:b/>
                <w:sz w:val="24"/>
                <w:szCs w:val="24"/>
              </w:rPr>
            </w:pPr>
            <w:r w:rsidRPr="008A4D76">
              <w:rPr>
                <w:rFonts w:ascii="Times New Roman" w:hAnsi="Times New Roman" w:cs="Times New Roman"/>
                <w:b/>
                <w:sz w:val="24"/>
                <w:szCs w:val="24"/>
              </w:rPr>
              <w:t>S</w:t>
            </w:r>
            <w:r w:rsidR="008A4D76" w:rsidRPr="008A4D76">
              <w:rPr>
                <w:rFonts w:ascii="Times New Roman" w:hAnsi="Times New Roman" w:cs="Times New Roman"/>
                <w:b/>
                <w:sz w:val="24"/>
                <w:szCs w:val="24"/>
              </w:rPr>
              <w:t>ex</w:t>
            </w:r>
          </w:p>
        </w:tc>
        <w:tc>
          <w:tcPr>
            <w:tcW w:w="2394" w:type="dxa"/>
          </w:tcPr>
          <w:p w:rsidR="008A4D76" w:rsidRPr="008A4D76" w:rsidRDefault="008A4D76" w:rsidP="00985AE3">
            <w:pPr>
              <w:jc w:val="both"/>
              <w:rPr>
                <w:rFonts w:ascii="Times New Roman" w:hAnsi="Times New Roman" w:cs="Times New Roman"/>
                <w:b/>
                <w:sz w:val="24"/>
                <w:szCs w:val="24"/>
              </w:rPr>
            </w:pPr>
            <w:proofErr w:type="spellStart"/>
            <w:r w:rsidRPr="008A4D76">
              <w:rPr>
                <w:rFonts w:ascii="Times New Roman" w:hAnsi="Times New Roman" w:cs="Times New Roman"/>
                <w:b/>
                <w:sz w:val="24"/>
                <w:szCs w:val="24"/>
              </w:rPr>
              <w:t>Jarabak’s</w:t>
            </w:r>
            <w:proofErr w:type="spellEnd"/>
            <w:r w:rsidRPr="008A4D76">
              <w:rPr>
                <w:rFonts w:ascii="Times New Roman" w:hAnsi="Times New Roman" w:cs="Times New Roman"/>
                <w:b/>
                <w:sz w:val="24"/>
                <w:szCs w:val="24"/>
              </w:rPr>
              <w:t xml:space="preserve"> ratio (%)</w:t>
            </w:r>
          </w:p>
        </w:tc>
        <w:tc>
          <w:tcPr>
            <w:tcW w:w="2394" w:type="dxa"/>
          </w:tcPr>
          <w:p w:rsidR="008A4D76" w:rsidRPr="008A4D76" w:rsidRDefault="008A4D76" w:rsidP="00985AE3">
            <w:pPr>
              <w:jc w:val="both"/>
              <w:rPr>
                <w:rFonts w:ascii="Times New Roman" w:hAnsi="Times New Roman" w:cs="Times New Roman"/>
                <w:b/>
                <w:sz w:val="24"/>
                <w:szCs w:val="24"/>
              </w:rPr>
            </w:pPr>
            <w:r w:rsidRPr="008A4D76">
              <w:rPr>
                <w:rFonts w:ascii="Times New Roman" w:hAnsi="Times New Roman" w:cs="Times New Roman"/>
                <w:b/>
                <w:sz w:val="24"/>
                <w:szCs w:val="24"/>
              </w:rPr>
              <w:t>Total sample</w:t>
            </w:r>
          </w:p>
        </w:tc>
      </w:tr>
      <w:tr w:rsidR="008A4D76" w:rsidTr="008A4D76">
        <w:tc>
          <w:tcPr>
            <w:tcW w:w="2394" w:type="dxa"/>
          </w:tcPr>
          <w:p w:rsidR="008A4D76" w:rsidRPr="008A4D76" w:rsidRDefault="008A4D76" w:rsidP="00985AE3">
            <w:pPr>
              <w:jc w:val="both"/>
              <w:rPr>
                <w:rFonts w:ascii="Times New Roman" w:hAnsi="Times New Roman" w:cs="Times New Roman"/>
                <w:sz w:val="24"/>
                <w:szCs w:val="24"/>
              </w:rPr>
            </w:pPr>
            <w:proofErr w:type="spellStart"/>
            <w:r w:rsidRPr="008A4D76">
              <w:rPr>
                <w:rFonts w:ascii="Times New Roman" w:hAnsi="Times New Roman" w:cs="Times New Roman"/>
                <w:sz w:val="24"/>
                <w:szCs w:val="24"/>
              </w:rPr>
              <w:t>Normodivergent</w:t>
            </w:r>
            <w:proofErr w:type="spellEnd"/>
          </w:p>
        </w:tc>
        <w:tc>
          <w:tcPr>
            <w:tcW w:w="2394" w:type="dxa"/>
          </w:tcPr>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Male</w:t>
            </w:r>
          </w:p>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Female</w:t>
            </w:r>
          </w:p>
        </w:tc>
        <w:tc>
          <w:tcPr>
            <w:tcW w:w="2394" w:type="dxa"/>
          </w:tcPr>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62-65</w:t>
            </w:r>
          </w:p>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62-65</w:t>
            </w:r>
          </w:p>
        </w:tc>
        <w:tc>
          <w:tcPr>
            <w:tcW w:w="2394" w:type="dxa"/>
          </w:tcPr>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30</w:t>
            </w:r>
          </w:p>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30</w:t>
            </w:r>
          </w:p>
        </w:tc>
      </w:tr>
      <w:tr w:rsidR="008A4D76" w:rsidTr="008A4D76">
        <w:tc>
          <w:tcPr>
            <w:tcW w:w="2394" w:type="dxa"/>
          </w:tcPr>
          <w:p w:rsidR="008A4D76" w:rsidRPr="008A4D76" w:rsidRDefault="008A4D76" w:rsidP="00985AE3">
            <w:pPr>
              <w:jc w:val="both"/>
              <w:rPr>
                <w:rFonts w:ascii="Times New Roman" w:hAnsi="Times New Roman" w:cs="Times New Roman"/>
                <w:sz w:val="24"/>
                <w:szCs w:val="24"/>
              </w:rPr>
            </w:pPr>
            <w:proofErr w:type="spellStart"/>
            <w:r w:rsidRPr="008A4D76">
              <w:rPr>
                <w:rFonts w:ascii="Times New Roman" w:hAnsi="Times New Roman" w:cs="Times New Roman"/>
                <w:sz w:val="24"/>
                <w:szCs w:val="24"/>
              </w:rPr>
              <w:t>Hyperdivergent</w:t>
            </w:r>
            <w:proofErr w:type="spellEnd"/>
          </w:p>
        </w:tc>
        <w:tc>
          <w:tcPr>
            <w:tcW w:w="2394" w:type="dxa"/>
          </w:tcPr>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Male</w:t>
            </w:r>
          </w:p>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Female</w:t>
            </w:r>
          </w:p>
        </w:tc>
        <w:tc>
          <w:tcPr>
            <w:tcW w:w="2394" w:type="dxa"/>
          </w:tcPr>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&lt;62</w:t>
            </w:r>
          </w:p>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&lt;62</w:t>
            </w:r>
          </w:p>
        </w:tc>
        <w:tc>
          <w:tcPr>
            <w:tcW w:w="2394" w:type="dxa"/>
          </w:tcPr>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30</w:t>
            </w:r>
          </w:p>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30</w:t>
            </w:r>
          </w:p>
        </w:tc>
      </w:tr>
      <w:tr w:rsidR="008A4D76" w:rsidTr="008A4D76">
        <w:tc>
          <w:tcPr>
            <w:tcW w:w="2394" w:type="dxa"/>
          </w:tcPr>
          <w:p w:rsidR="008A4D76" w:rsidRPr="008A4D76" w:rsidRDefault="008A4D76" w:rsidP="00985AE3">
            <w:pPr>
              <w:jc w:val="both"/>
              <w:rPr>
                <w:rFonts w:ascii="Times New Roman" w:hAnsi="Times New Roman" w:cs="Times New Roman"/>
                <w:sz w:val="24"/>
                <w:szCs w:val="24"/>
              </w:rPr>
            </w:pPr>
            <w:proofErr w:type="spellStart"/>
            <w:r>
              <w:rPr>
                <w:rFonts w:ascii="Times New Roman" w:hAnsi="Times New Roman" w:cs="Times New Roman"/>
                <w:sz w:val="24"/>
                <w:szCs w:val="24"/>
              </w:rPr>
              <w:t>H</w:t>
            </w:r>
            <w:r w:rsidRPr="008A4D76">
              <w:rPr>
                <w:rFonts w:ascii="Times New Roman" w:hAnsi="Times New Roman" w:cs="Times New Roman"/>
                <w:sz w:val="24"/>
                <w:szCs w:val="24"/>
              </w:rPr>
              <w:t>ypodivergent</w:t>
            </w:r>
            <w:proofErr w:type="spellEnd"/>
          </w:p>
        </w:tc>
        <w:tc>
          <w:tcPr>
            <w:tcW w:w="2394" w:type="dxa"/>
          </w:tcPr>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Male</w:t>
            </w:r>
          </w:p>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Female</w:t>
            </w:r>
          </w:p>
        </w:tc>
        <w:tc>
          <w:tcPr>
            <w:tcW w:w="2394" w:type="dxa"/>
          </w:tcPr>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&lt;65</w:t>
            </w:r>
          </w:p>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&lt;65</w:t>
            </w:r>
          </w:p>
        </w:tc>
        <w:tc>
          <w:tcPr>
            <w:tcW w:w="2394" w:type="dxa"/>
          </w:tcPr>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30</w:t>
            </w:r>
          </w:p>
          <w:p w:rsidR="008A4D76" w:rsidRPr="008A4D76" w:rsidRDefault="008A4D76" w:rsidP="00985AE3">
            <w:pPr>
              <w:jc w:val="both"/>
              <w:rPr>
                <w:rFonts w:ascii="Times New Roman" w:hAnsi="Times New Roman" w:cs="Times New Roman"/>
                <w:sz w:val="24"/>
                <w:szCs w:val="24"/>
              </w:rPr>
            </w:pPr>
            <w:r w:rsidRPr="008A4D76">
              <w:rPr>
                <w:rFonts w:ascii="Times New Roman" w:hAnsi="Times New Roman" w:cs="Times New Roman"/>
                <w:sz w:val="24"/>
                <w:szCs w:val="24"/>
              </w:rPr>
              <w:t>30</w:t>
            </w:r>
          </w:p>
        </w:tc>
      </w:tr>
    </w:tbl>
    <w:p w:rsidR="00D253E3" w:rsidRDefault="00D253E3" w:rsidP="00D253E3">
      <w:pPr>
        <w:pStyle w:val="NoSpacing"/>
        <w:rPr>
          <w:rFonts w:ascii="Times New Roman" w:hAnsi="Times New Roman" w:cs="Times New Roman"/>
          <w:b/>
          <w:sz w:val="24"/>
          <w:szCs w:val="24"/>
        </w:rPr>
      </w:pPr>
    </w:p>
    <w:p w:rsidR="00377045" w:rsidRPr="00D253E3" w:rsidRDefault="00D253E3" w:rsidP="00D253E3">
      <w:pPr>
        <w:pStyle w:val="NoSpacing"/>
        <w:rPr>
          <w:rFonts w:ascii="Times New Roman" w:hAnsi="Times New Roman" w:cs="Times New Roman"/>
          <w:b/>
          <w:sz w:val="24"/>
        </w:rPr>
      </w:pPr>
      <w:r w:rsidRPr="00D253E3">
        <w:rPr>
          <w:rFonts w:ascii="Times New Roman" w:hAnsi="Times New Roman" w:cs="Times New Roman"/>
          <w:b/>
          <w:sz w:val="24"/>
        </w:rPr>
        <w:t>Study Design:</w:t>
      </w:r>
    </w:p>
    <w:p w:rsidR="008203B4" w:rsidRPr="00D253E3" w:rsidRDefault="008203B4" w:rsidP="00D253E3">
      <w:pPr>
        <w:pStyle w:val="NoSpacing"/>
        <w:jc w:val="both"/>
        <w:rPr>
          <w:rFonts w:ascii="Times New Roman" w:hAnsi="Times New Roman" w:cs="Times New Roman"/>
          <w:sz w:val="24"/>
          <w:szCs w:val="24"/>
        </w:rPr>
      </w:pPr>
      <w:r w:rsidRPr="00D253E3">
        <w:rPr>
          <w:rFonts w:ascii="Times New Roman" w:hAnsi="Times New Roman" w:cs="Times New Roman"/>
          <w:sz w:val="24"/>
          <w:szCs w:val="24"/>
        </w:rPr>
        <w:t xml:space="preserve">A cross sectional study </w:t>
      </w:r>
      <w:r w:rsidR="008D13B4" w:rsidRPr="00D253E3">
        <w:rPr>
          <w:rFonts w:ascii="Times New Roman" w:hAnsi="Times New Roman" w:cs="Times New Roman"/>
          <w:sz w:val="24"/>
          <w:szCs w:val="24"/>
        </w:rPr>
        <w:t xml:space="preserve">was conducted which included </w:t>
      </w:r>
      <w:r w:rsidRPr="00D253E3">
        <w:rPr>
          <w:rFonts w:ascii="Times New Roman" w:hAnsi="Times New Roman" w:cs="Times New Roman"/>
          <w:sz w:val="24"/>
          <w:szCs w:val="24"/>
        </w:rPr>
        <w:t>a total of 180 pat</w:t>
      </w:r>
      <w:r w:rsidR="00A32C6E" w:rsidRPr="00D253E3">
        <w:rPr>
          <w:rFonts w:ascii="Times New Roman" w:hAnsi="Times New Roman" w:cs="Times New Roman"/>
          <w:sz w:val="24"/>
          <w:szCs w:val="24"/>
        </w:rPr>
        <w:t>ients</w:t>
      </w:r>
      <w:r w:rsidRPr="00D253E3">
        <w:rPr>
          <w:rFonts w:ascii="Times New Roman" w:hAnsi="Times New Roman" w:cs="Times New Roman"/>
          <w:sz w:val="24"/>
          <w:szCs w:val="24"/>
        </w:rPr>
        <w:t xml:space="preserve">, out of which 90 were males and 90 were females (60 </w:t>
      </w:r>
      <w:proofErr w:type="spellStart"/>
      <w:r w:rsidRPr="00D253E3">
        <w:rPr>
          <w:rFonts w:ascii="Times New Roman" w:hAnsi="Times New Roman" w:cs="Times New Roman"/>
          <w:sz w:val="24"/>
          <w:szCs w:val="24"/>
        </w:rPr>
        <w:t>hypodivergent</w:t>
      </w:r>
      <w:proofErr w:type="spellEnd"/>
      <w:r w:rsidRPr="00D253E3">
        <w:rPr>
          <w:rFonts w:ascii="Times New Roman" w:hAnsi="Times New Roman" w:cs="Times New Roman"/>
          <w:sz w:val="24"/>
          <w:szCs w:val="24"/>
        </w:rPr>
        <w:t xml:space="preserve">, 60 </w:t>
      </w:r>
      <w:proofErr w:type="spellStart"/>
      <w:r w:rsidRPr="00D253E3">
        <w:rPr>
          <w:rFonts w:ascii="Times New Roman" w:hAnsi="Times New Roman" w:cs="Times New Roman"/>
          <w:sz w:val="24"/>
          <w:szCs w:val="24"/>
        </w:rPr>
        <w:t>normodivrgent</w:t>
      </w:r>
      <w:proofErr w:type="spellEnd"/>
      <w:r w:rsidRPr="00D253E3">
        <w:rPr>
          <w:rFonts w:ascii="Times New Roman" w:hAnsi="Times New Roman" w:cs="Times New Roman"/>
          <w:sz w:val="24"/>
          <w:szCs w:val="24"/>
        </w:rPr>
        <w:t xml:space="preserve"> and 60 </w:t>
      </w:r>
      <w:proofErr w:type="spellStart"/>
      <w:r w:rsidRPr="00D253E3">
        <w:rPr>
          <w:rFonts w:ascii="Times New Roman" w:hAnsi="Times New Roman" w:cs="Times New Roman"/>
          <w:sz w:val="24"/>
          <w:szCs w:val="24"/>
        </w:rPr>
        <w:t>hyperdivergent</w:t>
      </w:r>
      <w:proofErr w:type="spellEnd"/>
      <w:r w:rsidRPr="00D253E3">
        <w:rPr>
          <w:rFonts w:ascii="Times New Roman" w:hAnsi="Times New Roman" w:cs="Times New Roman"/>
          <w:sz w:val="24"/>
          <w:szCs w:val="24"/>
        </w:rPr>
        <w:t>). A purposive convenience type sampling technique was carried out to sel</w:t>
      </w:r>
      <w:r w:rsidR="008D13B4" w:rsidRPr="00D253E3">
        <w:rPr>
          <w:rFonts w:ascii="Times New Roman" w:hAnsi="Times New Roman" w:cs="Times New Roman"/>
          <w:sz w:val="24"/>
          <w:szCs w:val="24"/>
        </w:rPr>
        <w:t>ect the patients included in the</w:t>
      </w:r>
      <w:r w:rsidRPr="00D253E3">
        <w:rPr>
          <w:rFonts w:ascii="Times New Roman" w:hAnsi="Times New Roman" w:cs="Times New Roman"/>
          <w:sz w:val="24"/>
          <w:szCs w:val="24"/>
        </w:rPr>
        <w:t xml:space="preserve"> study. Patie</w:t>
      </w:r>
      <w:r w:rsidR="008D13B4" w:rsidRPr="00D253E3">
        <w:rPr>
          <w:rFonts w:ascii="Times New Roman" w:hAnsi="Times New Roman" w:cs="Times New Roman"/>
          <w:sz w:val="24"/>
          <w:szCs w:val="24"/>
        </w:rPr>
        <w:t>nts included in the study were under the</w:t>
      </w:r>
      <w:r w:rsidRPr="00D253E3">
        <w:rPr>
          <w:rFonts w:ascii="Times New Roman" w:hAnsi="Times New Roman" w:cs="Times New Roman"/>
          <w:sz w:val="24"/>
          <w:szCs w:val="24"/>
        </w:rPr>
        <w:t xml:space="preserve"> age group ranging from 1</w:t>
      </w:r>
      <w:r w:rsidR="008D13B4" w:rsidRPr="00D253E3">
        <w:rPr>
          <w:rFonts w:ascii="Times New Roman" w:hAnsi="Times New Roman" w:cs="Times New Roman"/>
          <w:sz w:val="24"/>
          <w:szCs w:val="24"/>
        </w:rPr>
        <w:t>7 to 25 years. Patients who had</w:t>
      </w:r>
      <w:r w:rsidRPr="00D253E3">
        <w:rPr>
          <w:rFonts w:ascii="Times New Roman" w:hAnsi="Times New Roman" w:cs="Times New Roman"/>
          <w:sz w:val="24"/>
          <w:szCs w:val="24"/>
        </w:rPr>
        <w:t xml:space="preserve"> undergone any orthodontic treatment and who did not wish to give informed consent were excluded from the study. Informed consent was obtained from </w:t>
      </w:r>
      <w:r w:rsidR="008D13B4" w:rsidRPr="00D253E3">
        <w:rPr>
          <w:rFonts w:ascii="Times New Roman" w:hAnsi="Times New Roman" w:cs="Times New Roman"/>
          <w:sz w:val="24"/>
          <w:szCs w:val="24"/>
        </w:rPr>
        <w:t>all the patients included in the</w:t>
      </w:r>
      <w:r w:rsidRPr="00D253E3">
        <w:rPr>
          <w:rFonts w:ascii="Times New Roman" w:hAnsi="Times New Roman" w:cs="Times New Roman"/>
          <w:sz w:val="24"/>
          <w:szCs w:val="24"/>
        </w:rPr>
        <w:t xml:space="preserve"> study. The landmarks utilized in the study are enlisted in </w:t>
      </w:r>
      <w:r w:rsidR="003C02A7" w:rsidRPr="00D253E3">
        <w:rPr>
          <w:rFonts w:ascii="Times New Roman" w:hAnsi="Times New Roman" w:cs="Times New Roman"/>
          <w:b/>
          <w:bCs/>
          <w:sz w:val="24"/>
          <w:szCs w:val="24"/>
        </w:rPr>
        <w:t>Table 2</w:t>
      </w:r>
      <w:r w:rsidRPr="00D253E3">
        <w:rPr>
          <w:rFonts w:ascii="Times New Roman" w:hAnsi="Times New Roman" w:cs="Times New Roman"/>
          <w:sz w:val="24"/>
          <w:szCs w:val="24"/>
        </w:rPr>
        <w:t>.</w:t>
      </w:r>
      <w:r w:rsidR="009445BF" w:rsidRPr="00D253E3">
        <w:rPr>
          <w:rFonts w:ascii="Times New Roman" w:hAnsi="Times New Roman" w:cs="Times New Roman"/>
          <w:sz w:val="24"/>
          <w:szCs w:val="24"/>
        </w:rPr>
        <w:t xml:space="preserve"> The length of </w:t>
      </w:r>
      <w:r w:rsidR="009445BF" w:rsidRPr="00D253E3">
        <w:rPr>
          <w:rFonts w:ascii="Times New Roman" w:hAnsi="Times New Roman" w:cs="Times New Roman"/>
          <w:sz w:val="24"/>
          <w:szCs w:val="24"/>
        </w:rPr>
        <w:lastRenderedPageBreak/>
        <w:t xml:space="preserve">clinical crown was measured by means of a slide gauge with sharpened points for the maxillary </w:t>
      </w:r>
      <w:r w:rsidR="00CD5ED7">
        <w:rPr>
          <w:rFonts w:ascii="Times New Roman" w:hAnsi="Times New Roman" w:cs="Times New Roman"/>
          <w:sz w:val="24"/>
          <w:szCs w:val="24"/>
        </w:rPr>
        <w:t>central incisor and 1</w:t>
      </w:r>
      <w:r w:rsidR="00CD5ED7" w:rsidRPr="00CD5ED7">
        <w:rPr>
          <w:rFonts w:ascii="Times New Roman" w:hAnsi="Times New Roman" w:cs="Times New Roman"/>
          <w:sz w:val="24"/>
          <w:szCs w:val="24"/>
          <w:vertAlign w:val="superscript"/>
        </w:rPr>
        <w:t>st</w:t>
      </w:r>
      <w:r w:rsidR="00CD5ED7">
        <w:rPr>
          <w:rFonts w:ascii="Times New Roman" w:hAnsi="Times New Roman" w:cs="Times New Roman"/>
          <w:sz w:val="24"/>
          <w:szCs w:val="24"/>
        </w:rPr>
        <w:t xml:space="preserve"> molar and mandibular central incisor and 1</w:t>
      </w:r>
      <w:r w:rsidR="00CD5ED7" w:rsidRPr="00CD5ED7">
        <w:rPr>
          <w:rFonts w:ascii="Times New Roman" w:hAnsi="Times New Roman" w:cs="Times New Roman"/>
          <w:sz w:val="24"/>
          <w:szCs w:val="24"/>
          <w:vertAlign w:val="superscript"/>
        </w:rPr>
        <w:t>st</w:t>
      </w:r>
      <w:r w:rsidR="00CD5ED7">
        <w:rPr>
          <w:rFonts w:ascii="Times New Roman" w:hAnsi="Times New Roman" w:cs="Times New Roman"/>
          <w:sz w:val="24"/>
          <w:szCs w:val="24"/>
        </w:rPr>
        <w:t xml:space="preserve"> molar. </w:t>
      </w:r>
      <w:r w:rsidR="00D72EA8" w:rsidRPr="00D253E3">
        <w:rPr>
          <w:rFonts w:ascii="Times New Roman" w:hAnsi="Times New Roman" w:cs="Times New Roman"/>
          <w:sz w:val="24"/>
          <w:szCs w:val="24"/>
        </w:rPr>
        <w:t xml:space="preserve">These records were taken on the facial surface of each crown from cusp tip or </w:t>
      </w:r>
      <w:proofErr w:type="spellStart"/>
      <w:r w:rsidR="00D72EA8" w:rsidRPr="00D253E3">
        <w:rPr>
          <w:rFonts w:ascii="Times New Roman" w:hAnsi="Times New Roman" w:cs="Times New Roman"/>
          <w:sz w:val="24"/>
          <w:szCs w:val="24"/>
        </w:rPr>
        <w:t>incisal</w:t>
      </w:r>
      <w:proofErr w:type="spellEnd"/>
      <w:r w:rsidR="00D72EA8" w:rsidRPr="00D253E3">
        <w:rPr>
          <w:rFonts w:ascii="Times New Roman" w:hAnsi="Times New Roman" w:cs="Times New Roman"/>
          <w:sz w:val="24"/>
          <w:szCs w:val="24"/>
        </w:rPr>
        <w:t xml:space="preserve"> edge to the deepest curvature of the gingival margin for 11, 41. The measurements on the molar for 16 &amp; 26 teeth were made at the </w:t>
      </w:r>
      <w:proofErr w:type="spellStart"/>
      <w:r w:rsidR="00D72EA8" w:rsidRPr="00D253E3">
        <w:rPr>
          <w:rFonts w:ascii="Times New Roman" w:hAnsi="Times New Roman" w:cs="Times New Roman"/>
          <w:sz w:val="24"/>
          <w:szCs w:val="24"/>
        </w:rPr>
        <w:t>mesiobuccal</w:t>
      </w:r>
      <w:proofErr w:type="spellEnd"/>
      <w:r w:rsidR="00D72EA8" w:rsidRPr="00D253E3">
        <w:rPr>
          <w:rFonts w:ascii="Times New Roman" w:hAnsi="Times New Roman" w:cs="Times New Roman"/>
          <w:sz w:val="24"/>
          <w:szCs w:val="24"/>
        </w:rPr>
        <w:t xml:space="preserve"> cusp</w:t>
      </w:r>
      <w:r w:rsidR="00CD5ED7">
        <w:rPr>
          <w:rFonts w:ascii="Times New Roman" w:hAnsi="Times New Roman" w:cs="Times New Roman"/>
          <w:sz w:val="24"/>
          <w:szCs w:val="24"/>
        </w:rPr>
        <w:t xml:space="preserve"> </w:t>
      </w:r>
      <w:r w:rsidR="00CD5ED7" w:rsidRPr="00CD5ED7">
        <w:rPr>
          <w:rFonts w:ascii="Times New Roman" w:hAnsi="Times New Roman" w:cs="Times New Roman"/>
          <w:b/>
          <w:sz w:val="24"/>
          <w:szCs w:val="24"/>
        </w:rPr>
        <w:t>(figure 1)</w:t>
      </w:r>
      <w:r w:rsidR="00D72EA8" w:rsidRPr="00CD5ED7">
        <w:rPr>
          <w:rFonts w:ascii="Times New Roman" w:hAnsi="Times New Roman" w:cs="Times New Roman"/>
          <w:b/>
          <w:sz w:val="24"/>
          <w:szCs w:val="24"/>
        </w:rPr>
        <w:t>.</w:t>
      </w:r>
      <w:r w:rsidRPr="00D253E3">
        <w:rPr>
          <w:rFonts w:ascii="Times New Roman" w:hAnsi="Times New Roman" w:cs="Times New Roman"/>
          <w:sz w:val="24"/>
          <w:szCs w:val="24"/>
        </w:rPr>
        <w:t xml:space="preserve"> All the parameters were measured twice</w:t>
      </w:r>
      <w:r w:rsidR="00214EDE" w:rsidRPr="00D253E3">
        <w:rPr>
          <w:rFonts w:ascii="Times New Roman" w:hAnsi="Times New Roman" w:cs="Times New Roman"/>
          <w:sz w:val="24"/>
          <w:szCs w:val="24"/>
        </w:rPr>
        <w:t xml:space="preserve"> at different interval</w:t>
      </w:r>
      <w:r w:rsidRPr="00D253E3">
        <w:rPr>
          <w:rFonts w:ascii="Times New Roman" w:hAnsi="Times New Roman" w:cs="Times New Roman"/>
          <w:sz w:val="24"/>
          <w:szCs w:val="24"/>
        </w:rPr>
        <w:t xml:space="preserve"> and the average readings were calculated and recorded by two investigators one for clinical crown height and one for lower facial height </w:t>
      </w:r>
      <w:r w:rsidR="005323C7" w:rsidRPr="00D253E3">
        <w:rPr>
          <w:rFonts w:ascii="Times New Roman" w:hAnsi="Times New Roman" w:cs="Times New Roman"/>
          <w:sz w:val="24"/>
          <w:szCs w:val="24"/>
        </w:rPr>
        <w:t xml:space="preserve">&amp; Lateral </w:t>
      </w:r>
      <w:proofErr w:type="spellStart"/>
      <w:r w:rsidR="00FF01D7" w:rsidRPr="00D253E3">
        <w:rPr>
          <w:rFonts w:ascii="Times New Roman" w:hAnsi="Times New Roman" w:cs="Times New Roman"/>
          <w:sz w:val="24"/>
          <w:szCs w:val="24"/>
        </w:rPr>
        <w:t>Cephalogram</w:t>
      </w:r>
      <w:proofErr w:type="spellEnd"/>
      <w:r w:rsidR="00FF01D7" w:rsidRPr="00D253E3">
        <w:rPr>
          <w:rFonts w:ascii="Times New Roman" w:hAnsi="Times New Roman" w:cs="Times New Roman"/>
          <w:sz w:val="24"/>
          <w:szCs w:val="24"/>
        </w:rPr>
        <w:t xml:space="preserve"> </w:t>
      </w:r>
      <w:r w:rsidRPr="00D253E3">
        <w:rPr>
          <w:rFonts w:ascii="Times New Roman" w:hAnsi="Times New Roman" w:cs="Times New Roman"/>
          <w:sz w:val="24"/>
          <w:szCs w:val="24"/>
        </w:rPr>
        <w:t>respectively. The investigators were blinded for their individual measurements respectively. Three anthropometric measurements were measured; one was of soft tissue and two of hard tissue</w:t>
      </w:r>
      <w:r w:rsidR="008D13B4" w:rsidRPr="00D253E3">
        <w:rPr>
          <w:rFonts w:ascii="Times New Roman" w:hAnsi="Times New Roman" w:cs="Times New Roman"/>
          <w:sz w:val="24"/>
          <w:szCs w:val="24"/>
        </w:rPr>
        <w:t>s</w:t>
      </w:r>
      <w:r w:rsidRPr="00D253E3">
        <w:rPr>
          <w:rFonts w:ascii="Times New Roman" w:hAnsi="Times New Roman" w:cs="Times New Roman"/>
          <w:sz w:val="24"/>
          <w:szCs w:val="24"/>
        </w:rPr>
        <w:t xml:space="preserve">. In soft tissue the lower facial height was measured from soft tissue </w:t>
      </w:r>
      <w:proofErr w:type="spellStart"/>
      <w:r w:rsidR="003C02A7" w:rsidRPr="00D253E3">
        <w:rPr>
          <w:rFonts w:ascii="Times New Roman" w:hAnsi="Times New Roman" w:cs="Times New Roman"/>
          <w:sz w:val="24"/>
          <w:szCs w:val="24"/>
        </w:rPr>
        <w:t>subnasale</w:t>
      </w:r>
      <w:proofErr w:type="spellEnd"/>
      <w:r w:rsidR="003C02A7" w:rsidRPr="00D253E3">
        <w:rPr>
          <w:rFonts w:ascii="Times New Roman" w:hAnsi="Times New Roman" w:cs="Times New Roman"/>
          <w:sz w:val="24"/>
          <w:szCs w:val="24"/>
        </w:rPr>
        <w:t xml:space="preserve"> to soft tissue </w:t>
      </w:r>
      <w:proofErr w:type="spellStart"/>
      <w:r w:rsidR="003C02A7" w:rsidRPr="00D253E3">
        <w:rPr>
          <w:rFonts w:ascii="Times New Roman" w:hAnsi="Times New Roman" w:cs="Times New Roman"/>
          <w:sz w:val="24"/>
          <w:szCs w:val="24"/>
        </w:rPr>
        <w:t>menton</w:t>
      </w:r>
      <w:proofErr w:type="spellEnd"/>
      <w:r w:rsidR="004D19FC">
        <w:rPr>
          <w:rFonts w:ascii="Times New Roman" w:hAnsi="Times New Roman" w:cs="Times New Roman"/>
          <w:sz w:val="24"/>
          <w:szCs w:val="24"/>
        </w:rPr>
        <w:t xml:space="preserve"> </w:t>
      </w:r>
      <w:r w:rsidR="004D19FC">
        <w:rPr>
          <w:rFonts w:ascii="Times New Roman" w:hAnsi="Times New Roman" w:cs="Times New Roman"/>
          <w:b/>
          <w:bCs/>
          <w:sz w:val="24"/>
          <w:szCs w:val="24"/>
        </w:rPr>
        <w:t xml:space="preserve">(Figure </w:t>
      </w:r>
      <w:r w:rsidR="00CD5ED7">
        <w:rPr>
          <w:rFonts w:ascii="Times New Roman" w:hAnsi="Times New Roman" w:cs="Times New Roman"/>
          <w:b/>
          <w:bCs/>
          <w:sz w:val="24"/>
          <w:szCs w:val="24"/>
        </w:rPr>
        <w:t>2</w:t>
      </w:r>
      <w:r w:rsidRPr="00D253E3">
        <w:rPr>
          <w:rFonts w:ascii="Times New Roman" w:hAnsi="Times New Roman" w:cs="Times New Roman"/>
          <w:b/>
          <w:bCs/>
          <w:sz w:val="24"/>
          <w:szCs w:val="24"/>
        </w:rPr>
        <w:t>).</w:t>
      </w:r>
      <w:r w:rsidRPr="00D253E3">
        <w:rPr>
          <w:rFonts w:ascii="Times New Roman" w:hAnsi="Times New Roman" w:cs="Times New Roman"/>
          <w:bCs/>
          <w:sz w:val="24"/>
          <w:szCs w:val="24"/>
        </w:rPr>
        <w:t xml:space="preserve"> </w:t>
      </w:r>
      <w:r w:rsidRPr="00D253E3">
        <w:rPr>
          <w:rFonts w:ascii="Times New Roman" w:hAnsi="Times New Roman" w:cs="Times New Roman"/>
          <w:sz w:val="24"/>
          <w:szCs w:val="24"/>
        </w:rPr>
        <w:t>In hard tissue the</w:t>
      </w:r>
      <w:r w:rsidR="00D72EA8" w:rsidRPr="00D253E3">
        <w:rPr>
          <w:rFonts w:ascii="Times New Roman" w:hAnsi="Times New Roman" w:cs="Times New Roman"/>
          <w:sz w:val="24"/>
          <w:szCs w:val="24"/>
        </w:rPr>
        <w:t xml:space="preserve"> clinical crown height of right </w:t>
      </w:r>
      <w:r w:rsidRPr="00D253E3">
        <w:rPr>
          <w:rFonts w:ascii="Times New Roman" w:hAnsi="Times New Roman" w:cs="Times New Roman"/>
          <w:sz w:val="24"/>
          <w:szCs w:val="24"/>
        </w:rPr>
        <w:t>central incisors and first permanent molars of upper and lower</w:t>
      </w:r>
      <w:r w:rsidR="00D253E3">
        <w:rPr>
          <w:rFonts w:ascii="Times New Roman" w:hAnsi="Times New Roman" w:cs="Times New Roman"/>
          <w:sz w:val="24"/>
          <w:szCs w:val="24"/>
        </w:rPr>
        <w:t xml:space="preserve"> teeth were measured clinically</w:t>
      </w:r>
      <w:r w:rsidR="004D19FC">
        <w:rPr>
          <w:rFonts w:ascii="Times New Roman" w:hAnsi="Times New Roman" w:cs="Times New Roman"/>
          <w:sz w:val="24"/>
          <w:szCs w:val="24"/>
        </w:rPr>
        <w:t xml:space="preserve"> </w:t>
      </w:r>
      <w:r w:rsidR="004D19FC">
        <w:rPr>
          <w:rFonts w:ascii="Times New Roman" w:hAnsi="Times New Roman" w:cs="Times New Roman"/>
          <w:b/>
          <w:bCs/>
          <w:sz w:val="24"/>
          <w:szCs w:val="24"/>
        </w:rPr>
        <w:t xml:space="preserve">(Figure </w:t>
      </w:r>
      <w:r w:rsidR="00CD5ED7">
        <w:rPr>
          <w:rFonts w:ascii="Times New Roman" w:hAnsi="Times New Roman" w:cs="Times New Roman"/>
          <w:b/>
          <w:bCs/>
          <w:sz w:val="24"/>
          <w:szCs w:val="24"/>
        </w:rPr>
        <w:t>3</w:t>
      </w:r>
      <w:r w:rsidR="00D253E3">
        <w:rPr>
          <w:rFonts w:ascii="Times New Roman" w:hAnsi="Times New Roman" w:cs="Times New Roman"/>
          <w:b/>
          <w:bCs/>
          <w:sz w:val="24"/>
          <w:szCs w:val="24"/>
        </w:rPr>
        <w:t xml:space="preserve"> </w:t>
      </w:r>
      <w:r w:rsidR="004D19FC">
        <w:rPr>
          <w:rFonts w:ascii="Times New Roman" w:hAnsi="Times New Roman" w:cs="Times New Roman"/>
          <w:b/>
          <w:bCs/>
          <w:sz w:val="24"/>
          <w:szCs w:val="24"/>
        </w:rPr>
        <w:t>A-</w:t>
      </w:r>
      <w:r w:rsidRPr="00D253E3">
        <w:rPr>
          <w:rFonts w:ascii="Times New Roman" w:hAnsi="Times New Roman" w:cs="Times New Roman"/>
          <w:b/>
          <w:bCs/>
          <w:sz w:val="24"/>
          <w:szCs w:val="24"/>
        </w:rPr>
        <w:t>D</w:t>
      </w:r>
      <w:r w:rsidRPr="00D253E3">
        <w:rPr>
          <w:rFonts w:ascii="Times New Roman" w:hAnsi="Times New Roman" w:cs="Times New Roman"/>
          <w:bCs/>
          <w:sz w:val="24"/>
          <w:szCs w:val="24"/>
        </w:rPr>
        <w:t xml:space="preserve">) &amp; in </w:t>
      </w:r>
      <w:proofErr w:type="spellStart"/>
      <w:r w:rsidRPr="00D253E3">
        <w:rPr>
          <w:rFonts w:ascii="Times New Roman" w:hAnsi="Times New Roman" w:cs="Times New Roman"/>
          <w:bCs/>
          <w:sz w:val="24"/>
          <w:szCs w:val="24"/>
        </w:rPr>
        <w:t>cephalometric</w:t>
      </w:r>
      <w:proofErr w:type="spellEnd"/>
      <w:r w:rsidRPr="00D253E3">
        <w:rPr>
          <w:rFonts w:ascii="Times New Roman" w:hAnsi="Times New Roman" w:cs="Times New Roman"/>
          <w:bCs/>
          <w:sz w:val="24"/>
          <w:szCs w:val="24"/>
        </w:rPr>
        <w:t xml:space="preserve"> lower facial height was measured from hard tissue </w:t>
      </w:r>
      <w:r w:rsidRPr="00D253E3">
        <w:rPr>
          <w:rFonts w:ascii="Times New Roman" w:hAnsi="Times New Roman" w:cs="Times New Roman"/>
          <w:sz w:val="24"/>
          <w:szCs w:val="24"/>
        </w:rPr>
        <w:t>anterior nasal spine</w:t>
      </w:r>
      <w:r w:rsidRPr="00D253E3">
        <w:rPr>
          <w:rFonts w:ascii="Times New Roman" w:hAnsi="Times New Roman" w:cs="Times New Roman"/>
          <w:bCs/>
          <w:sz w:val="24"/>
          <w:szCs w:val="24"/>
        </w:rPr>
        <w:t xml:space="preserve"> to hard tissue </w:t>
      </w:r>
      <w:proofErr w:type="spellStart"/>
      <w:r w:rsidRPr="00D253E3">
        <w:rPr>
          <w:rFonts w:ascii="Times New Roman" w:hAnsi="Times New Roman" w:cs="Times New Roman"/>
          <w:bCs/>
          <w:sz w:val="24"/>
          <w:szCs w:val="24"/>
        </w:rPr>
        <w:t>menton</w:t>
      </w:r>
      <w:proofErr w:type="spellEnd"/>
      <w:r w:rsidR="004D19FC">
        <w:rPr>
          <w:rFonts w:ascii="Times New Roman" w:hAnsi="Times New Roman" w:cs="Times New Roman"/>
          <w:bCs/>
          <w:sz w:val="24"/>
          <w:szCs w:val="24"/>
        </w:rPr>
        <w:t xml:space="preserve"> </w:t>
      </w:r>
      <w:r w:rsidR="004D19FC">
        <w:rPr>
          <w:rFonts w:ascii="Times New Roman" w:hAnsi="Times New Roman" w:cs="Times New Roman"/>
          <w:b/>
          <w:bCs/>
          <w:sz w:val="24"/>
          <w:szCs w:val="24"/>
        </w:rPr>
        <w:t xml:space="preserve">(Figure </w:t>
      </w:r>
      <w:r w:rsidR="00CD5ED7">
        <w:rPr>
          <w:rFonts w:ascii="Times New Roman" w:hAnsi="Times New Roman" w:cs="Times New Roman"/>
          <w:b/>
          <w:bCs/>
          <w:sz w:val="24"/>
          <w:szCs w:val="24"/>
        </w:rPr>
        <w:t>4</w:t>
      </w:r>
      <w:r w:rsidR="00102582" w:rsidRPr="00D253E3">
        <w:rPr>
          <w:rFonts w:ascii="Times New Roman" w:hAnsi="Times New Roman" w:cs="Times New Roman"/>
          <w:b/>
          <w:bCs/>
          <w:sz w:val="24"/>
          <w:szCs w:val="24"/>
        </w:rPr>
        <w:t>)</w:t>
      </w:r>
      <w:r w:rsidR="006A262C" w:rsidRPr="00D253E3">
        <w:rPr>
          <w:rFonts w:ascii="Times New Roman" w:hAnsi="Times New Roman" w:cs="Times New Roman"/>
          <w:b/>
          <w:bCs/>
          <w:sz w:val="24"/>
          <w:szCs w:val="24"/>
        </w:rPr>
        <w:t>.</w:t>
      </w:r>
    </w:p>
    <w:p w:rsidR="00992D49" w:rsidRPr="00D253E3" w:rsidRDefault="008203B4" w:rsidP="00D253E3">
      <w:pPr>
        <w:autoSpaceDE w:val="0"/>
        <w:autoSpaceDN w:val="0"/>
        <w:adjustRightInd w:val="0"/>
        <w:spacing w:after="0"/>
        <w:jc w:val="both"/>
        <w:rPr>
          <w:rFonts w:ascii="Times New Roman" w:hAnsi="Times New Roman" w:cs="Times New Roman"/>
          <w:sz w:val="24"/>
          <w:szCs w:val="24"/>
        </w:rPr>
      </w:pPr>
      <w:r w:rsidRPr="00D253E3">
        <w:rPr>
          <w:rFonts w:ascii="Times New Roman" w:hAnsi="Times New Roman" w:cs="Times New Roman"/>
          <w:sz w:val="24"/>
          <w:szCs w:val="24"/>
        </w:rPr>
        <w:t>Mean and standard deviation was calculated for all individual parameters, T test was carried out to determine significance among the samples included for the study with respect to 11, 16, 41, 46 and lower facial height</w:t>
      </w:r>
      <w:r w:rsidR="00C4314C" w:rsidRPr="00D253E3">
        <w:rPr>
          <w:rFonts w:ascii="Times New Roman" w:hAnsi="Times New Roman" w:cs="Times New Roman"/>
          <w:sz w:val="24"/>
          <w:szCs w:val="24"/>
        </w:rPr>
        <w:t xml:space="preserve"> </w:t>
      </w:r>
      <w:r w:rsidRPr="00D253E3">
        <w:rPr>
          <w:rFonts w:ascii="Times New Roman" w:hAnsi="Times New Roman" w:cs="Times New Roman"/>
          <w:sz w:val="24"/>
          <w:szCs w:val="24"/>
        </w:rPr>
        <w:t xml:space="preserve">clinical &amp; </w:t>
      </w:r>
      <w:proofErr w:type="spellStart"/>
      <w:r w:rsidRPr="00D253E3">
        <w:rPr>
          <w:rFonts w:ascii="Times New Roman" w:hAnsi="Times New Roman" w:cs="Times New Roman"/>
          <w:sz w:val="24"/>
          <w:szCs w:val="24"/>
        </w:rPr>
        <w:t>cephalometric</w:t>
      </w:r>
      <w:proofErr w:type="spellEnd"/>
      <w:r w:rsidRPr="00D253E3">
        <w:rPr>
          <w:rFonts w:ascii="Times New Roman" w:hAnsi="Times New Roman" w:cs="Times New Roman"/>
          <w:sz w:val="24"/>
          <w:szCs w:val="24"/>
        </w:rPr>
        <w:t>. Correlation coefficient was also determined with 11, 16, 41, and 46 to lower facial height.</w:t>
      </w:r>
    </w:p>
    <w:p w:rsidR="00452107" w:rsidRPr="00214EDE" w:rsidRDefault="003C02A7" w:rsidP="00985AE3">
      <w:pPr>
        <w:autoSpaceDE w:val="0"/>
        <w:autoSpaceDN w:val="0"/>
        <w:adjustRightInd w:val="0"/>
        <w:spacing w:after="0" w:line="240" w:lineRule="auto"/>
        <w:jc w:val="both"/>
        <w:rPr>
          <w:rFonts w:ascii="Times New Roman" w:hAnsi="Times New Roman" w:cs="Times New Roman"/>
          <w:b/>
          <w:bCs/>
          <w:sz w:val="24"/>
          <w:szCs w:val="18"/>
        </w:rPr>
      </w:pPr>
      <w:proofErr w:type="gramStart"/>
      <w:r>
        <w:rPr>
          <w:rFonts w:ascii="Times New Roman" w:hAnsi="Times New Roman" w:cs="Times New Roman"/>
          <w:b/>
          <w:bCs/>
          <w:sz w:val="24"/>
          <w:szCs w:val="18"/>
        </w:rPr>
        <w:t>Table.</w:t>
      </w:r>
      <w:proofErr w:type="gramEnd"/>
      <w:r>
        <w:rPr>
          <w:rFonts w:ascii="Times New Roman" w:hAnsi="Times New Roman" w:cs="Times New Roman"/>
          <w:b/>
          <w:bCs/>
          <w:sz w:val="24"/>
          <w:szCs w:val="18"/>
        </w:rPr>
        <w:t xml:space="preserve"> 2</w:t>
      </w:r>
      <w:r w:rsidR="00452107" w:rsidRPr="00214EDE">
        <w:rPr>
          <w:rFonts w:ascii="Times New Roman" w:hAnsi="Times New Roman" w:cs="Times New Roman"/>
          <w:b/>
          <w:bCs/>
          <w:sz w:val="24"/>
          <w:szCs w:val="18"/>
        </w:rPr>
        <w:t>. List of Landmarks utilized in the study</w:t>
      </w:r>
    </w:p>
    <w:tbl>
      <w:tblPr>
        <w:tblStyle w:val="TableGrid"/>
        <w:tblW w:w="0" w:type="auto"/>
        <w:tblLook w:val="04A0" w:firstRow="1" w:lastRow="0" w:firstColumn="1" w:lastColumn="0" w:noHBand="0" w:noVBand="1"/>
      </w:tblPr>
      <w:tblGrid>
        <w:gridCol w:w="2358"/>
        <w:gridCol w:w="7218"/>
      </w:tblGrid>
      <w:tr w:rsidR="00452107" w:rsidTr="005323C7">
        <w:tc>
          <w:tcPr>
            <w:tcW w:w="2358" w:type="dxa"/>
          </w:tcPr>
          <w:p w:rsidR="00452107" w:rsidRPr="005323C7" w:rsidRDefault="00452107" w:rsidP="00985AE3">
            <w:pPr>
              <w:autoSpaceDE w:val="0"/>
              <w:autoSpaceDN w:val="0"/>
              <w:adjustRightInd w:val="0"/>
              <w:spacing w:line="360" w:lineRule="auto"/>
              <w:jc w:val="both"/>
              <w:rPr>
                <w:rFonts w:ascii="Times New Roman" w:hAnsi="Times New Roman" w:cs="Times New Roman"/>
                <w:sz w:val="24"/>
                <w:szCs w:val="24"/>
              </w:rPr>
            </w:pPr>
            <w:r w:rsidRPr="005323C7">
              <w:rPr>
                <w:rFonts w:ascii="Times New Roman" w:hAnsi="Times New Roman" w:cs="Times New Roman"/>
                <w:sz w:val="24"/>
                <w:szCs w:val="24"/>
              </w:rPr>
              <w:t>Landmarks</w:t>
            </w:r>
          </w:p>
        </w:tc>
        <w:tc>
          <w:tcPr>
            <w:tcW w:w="7218" w:type="dxa"/>
          </w:tcPr>
          <w:p w:rsidR="00452107" w:rsidRPr="005323C7" w:rsidRDefault="00452107" w:rsidP="00985AE3">
            <w:pPr>
              <w:autoSpaceDE w:val="0"/>
              <w:autoSpaceDN w:val="0"/>
              <w:adjustRightInd w:val="0"/>
              <w:spacing w:line="360" w:lineRule="auto"/>
              <w:jc w:val="both"/>
              <w:rPr>
                <w:rFonts w:ascii="Times New Roman" w:hAnsi="Times New Roman" w:cs="Times New Roman"/>
                <w:sz w:val="24"/>
                <w:szCs w:val="24"/>
              </w:rPr>
            </w:pPr>
            <w:r w:rsidRPr="005323C7">
              <w:rPr>
                <w:rFonts w:ascii="Times New Roman" w:hAnsi="Times New Roman" w:cs="Times New Roman"/>
                <w:sz w:val="24"/>
                <w:szCs w:val="24"/>
              </w:rPr>
              <w:t>Definition</w:t>
            </w:r>
          </w:p>
        </w:tc>
      </w:tr>
      <w:tr w:rsidR="00452107" w:rsidTr="005323C7">
        <w:tc>
          <w:tcPr>
            <w:tcW w:w="2358" w:type="dxa"/>
          </w:tcPr>
          <w:p w:rsidR="00452107" w:rsidRPr="005323C7" w:rsidRDefault="00452107" w:rsidP="005323C7">
            <w:pPr>
              <w:pStyle w:val="NoSpacing"/>
              <w:rPr>
                <w:rFonts w:ascii="Times New Roman" w:hAnsi="Times New Roman" w:cs="Times New Roman"/>
                <w:sz w:val="24"/>
                <w:szCs w:val="24"/>
              </w:rPr>
            </w:pPr>
            <w:r w:rsidRPr="005323C7">
              <w:rPr>
                <w:rFonts w:ascii="Times New Roman" w:hAnsi="Times New Roman" w:cs="Times New Roman"/>
                <w:sz w:val="24"/>
                <w:szCs w:val="24"/>
              </w:rPr>
              <w:t xml:space="preserve">Soft tissue </w:t>
            </w:r>
            <w:proofErr w:type="spellStart"/>
            <w:r w:rsidRPr="005323C7">
              <w:rPr>
                <w:rFonts w:ascii="Times New Roman" w:hAnsi="Times New Roman" w:cs="Times New Roman"/>
                <w:sz w:val="24"/>
                <w:szCs w:val="24"/>
              </w:rPr>
              <w:t>subnasale</w:t>
            </w:r>
            <w:proofErr w:type="spellEnd"/>
          </w:p>
          <w:p w:rsidR="00452107" w:rsidRPr="005323C7" w:rsidRDefault="00452107" w:rsidP="005323C7">
            <w:pPr>
              <w:pStyle w:val="NoSpacing"/>
              <w:rPr>
                <w:rFonts w:ascii="Times New Roman" w:hAnsi="Times New Roman" w:cs="Times New Roman"/>
                <w:sz w:val="24"/>
                <w:szCs w:val="24"/>
              </w:rPr>
            </w:pPr>
          </w:p>
        </w:tc>
        <w:tc>
          <w:tcPr>
            <w:tcW w:w="7218" w:type="dxa"/>
          </w:tcPr>
          <w:p w:rsidR="00452107" w:rsidRPr="005323C7" w:rsidRDefault="00452107" w:rsidP="005323C7">
            <w:pPr>
              <w:pStyle w:val="NoSpacing"/>
              <w:rPr>
                <w:rFonts w:ascii="Times New Roman" w:hAnsi="Times New Roman" w:cs="Times New Roman"/>
                <w:sz w:val="24"/>
                <w:szCs w:val="24"/>
              </w:rPr>
            </w:pPr>
            <w:r w:rsidRPr="005323C7">
              <w:rPr>
                <w:rFonts w:ascii="Times New Roman" w:hAnsi="Times New Roman" w:cs="Times New Roman"/>
                <w:sz w:val="24"/>
                <w:szCs w:val="24"/>
              </w:rPr>
              <w:t xml:space="preserve">The point at which the </w:t>
            </w:r>
            <w:proofErr w:type="spellStart"/>
            <w:r w:rsidRPr="005323C7">
              <w:rPr>
                <w:rFonts w:ascii="Times New Roman" w:hAnsi="Times New Roman" w:cs="Times New Roman"/>
                <w:sz w:val="24"/>
                <w:szCs w:val="24"/>
              </w:rPr>
              <w:t>columella</w:t>
            </w:r>
            <w:proofErr w:type="spellEnd"/>
            <w:r w:rsidRPr="005323C7">
              <w:rPr>
                <w:rFonts w:ascii="Times New Roman" w:hAnsi="Times New Roman" w:cs="Times New Roman"/>
                <w:sz w:val="24"/>
                <w:szCs w:val="24"/>
              </w:rPr>
              <w:t xml:space="preserve"> merges with the upper lip in the</w:t>
            </w:r>
          </w:p>
          <w:p w:rsidR="00452107" w:rsidRPr="005323C7" w:rsidRDefault="00452107" w:rsidP="005323C7">
            <w:pPr>
              <w:pStyle w:val="NoSpacing"/>
              <w:rPr>
                <w:rFonts w:ascii="Times New Roman" w:hAnsi="Times New Roman" w:cs="Times New Roman"/>
                <w:sz w:val="24"/>
                <w:szCs w:val="24"/>
              </w:rPr>
            </w:pPr>
            <w:proofErr w:type="spellStart"/>
            <w:proofErr w:type="gramStart"/>
            <w:r w:rsidRPr="005323C7">
              <w:rPr>
                <w:rFonts w:ascii="Times New Roman" w:hAnsi="Times New Roman" w:cs="Times New Roman"/>
                <w:sz w:val="24"/>
                <w:szCs w:val="24"/>
              </w:rPr>
              <w:t>midsagittal</w:t>
            </w:r>
            <w:proofErr w:type="spellEnd"/>
            <w:proofErr w:type="gramEnd"/>
            <w:r w:rsidRPr="005323C7">
              <w:rPr>
                <w:rFonts w:ascii="Times New Roman" w:hAnsi="Times New Roman" w:cs="Times New Roman"/>
                <w:sz w:val="24"/>
                <w:szCs w:val="24"/>
              </w:rPr>
              <w:t xml:space="preserve"> plane.</w:t>
            </w:r>
          </w:p>
        </w:tc>
      </w:tr>
      <w:tr w:rsidR="00452107" w:rsidTr="005323C7">
        <w:tc>
          <w:tcPr>
            <w:tcW w:w="2358" w:type="dxa"/>
          </w:tcPr>
          <w:p w:rsidR="00452107" w:rsidRPr="005323C7" w:rsidRDefault="00452107" w:rsidP="005323C7">
            <w:pPr>
              <w:pStyle w:val="NoSpacing"/>
              <w:rPr>
                <w:rFonts w:ascii="Times New Roman" w:hAnsi="Times New Roman" w:cs="Times New Roman"/>
                <w:sz w:val="24"/>
                <w:szCs w:val="24"/>
              </w:rPr>
            </w:pPr>
            <w:r w:rsidRPr="005323C7">
              <w:rPr>
                <w:rFonts w:ascii="Times New Roman" w:hAnsi="Times New Roman" w:cs="Times New Roman"/>
                <w:sz w:val="24"/>
                <w:szCs w:val="24"/>
              </w:rPr>
              <w:t xml:space="preserve">Soft tissue </w:t>
            </w:r>
            <w:proofErr w:type="spellStart"/>
            <w:r w:rsidRPr="005323C7">
              <w:rPr>
                <w:rFonts w:ascii="Times New Roman" w:hAnsi="Times New Roman" w:cs="Times New Roman"/>
                <w:sz w:val="24"/>
                <w:szCs w:val="24"/>
              </w:rPr>
              <w:t>menton</w:t>
            </w:r>
            <w:proofErr w:type="spellEnd"/>
          </w:p>
        </w:tc>
        <w:tc>
          <w:tcPr>
            <w:tcW w:w="7218" w:type="dxa"/>
          </w:tcPr>
          <w:p w:rsidR="00452107" w:rsidRPr="005323C7" w:rsidRDefault="00452107" w:rsidP="005323C7">
            <w:pPr>
              <w:pStyle w:val="NoSpacing"/>
              <w:rPr>
                <w:rFonts w:ascii="Times New Roman" w:hAnsi="Times New Roman" w:cs="Times New Roman"/>
                <w:sz w:val="24"/>
                <w:szCs w:val="24"/>
              </w:rPr>
            </w:pPr>
            <w:r w:rsidRPr="005323C7">
              <w:rPr>
                <w:rFonts w:ascii="Times New Roman" w:hAnsi="Times New Roman" w:cs="Times New Roman"/>
                <w:sz w:val="24"/>
                <w:szCs w:val="24"/>
              </w:rPr>
              <w:t xml:space="preserve">Lowest point on the contour of the soft tissue chin. Found by dropping perpendicular from the horizontal plane through skeletal </w:t>
            </w:r>
            <w:proofErr w:type="spellStart"/>
            <w:r w:rsidRPr="005323C7">
              <w:rPr>
                <w:rFonts w:ascii="Times New Roman" w:hAnsi="Times New Roman" w:cs="Times New Roman"/>
                <w:sz w:val="24"/>
                <w:szCs w:val="24"/>
              </w:rPr>
              <w:t>menton</w:t>
            </w:r>
            <w:proofErr w:type="spellEnd"/>
            <w:r w:rsidRPr="005323C7">
              <w:rPr>
                <w:rFonts w:ascii="Times New Roman" w:hAnsi="Times New Roman" w:cs="Times New Roman"/>
                <w:sz w:val="24"/>
                <w:szCs w:val="24"/>
              </w:rPr>
              <w:t>.</w:t>
            </w:r>
          </w:p>
        </w:tc>
      </w:tr>
      <w:tr w:rsidR="00452107" w:rsidTr="005323C7">
        <w:tc>
          <w:tcPr>
            <w:tcW w:w="2358" w:type="dxa"/>
          </w:tcPr>
          <w:p w:rsidR="00452107" w:rsidRPr="005323C7" w:rsidRDefault="001A6B28" w:rsidP="005323C7">
            <w:pPr>
              <w:pStyle w:val="NoSpacing"/>
              <w:rPr>
                <w:rFonts w:ascii="Times New Roman" w:hAnsi="Times New Roman" w:cs="Times New Roman"/>
                <w:sz w:val="24"/>
                <w:szCs w:val="24"/>
              </w:rPr>
            </w:pPr>
            <w:r>
              <w:rPr>
                <w:rFonts w:ascii="Times New Roman" w:hAnsi="Times New Roman" w:cs="Times New Roman"/>
                <w:sz w:val="24"/>
                <w:szCs w:val="24"/>
              </w:rPr>
              <w:t>01</w:t>
            </w:r>
            <w:r w:rsidR="00452107" w:rsidRPr="005323C7">
              <w:rPr>
                <w:rFonts w:ascii="Times New Roman" w:hAnsi="Times New Roman" w:cs="Times New Roman"/>
                <w:sz w:val="24"/>
                <w:szCs w:val="24"/>
              </w:rPr>
              <w:t>Lower facial height</w:t>
            </w:r>
            <w:r w:rsidR="006A262C">
              <w:rPr>
                <w:rFonts w:ascii="Times New Roman" w:hAnsi="Times New Roman" w:cs="Times New Roman"/>
                <w:sz w:val="24"/>
                <w:szCs w:val="24"/>
              </w:rPr>
              <w:t xml:space="preserve"> clinical</w:t>
            </w:r>
          </w:p>
        </w:tc>
        <w:tc>
          <w:tcPr>
            <w:tcW w:w="7218" w:type="dxa"/>
          </w:tcPr>
          <w:p w:rsidR="00452107" w:rsidRPr="005323C7" w:rsidRDefault="00452107" w:rsidP="005323C7">
            <w:pPr>
              <w:pStyle w:val="NoSpacing"/>
              <w:rPr>
                <w:rFonts w:ascii="Times New Roman" w:hAnsi="Times New Roman" w:cs="Times New Roman"/>
                <w:sz w:val="24"/>
                <w:szCs w:val="24"/>
              </w:rPr>
            </w:pPr>
            <w:proofErr w:type="spellStart"/>
            <w:r w:rsidRPr="005323C7">
              <w:rPr>
                <w:rFonts w:ascii="Times New Roman" w:hAnsi="Times New Roman" w:cs="Times New Roman"/>
                <w:sz w:val="24"/>
                <w:szCs w:val="24"/>
              </w:rPr>
              <w:t>Millimetric</w:t>
            </w:r>
            <w:proofErr w:type="spellEnd"/>
            <w:r w:rsidRPr="005323C7">
              <w:rPr>
                <w:rFonts w:ascii="Times New Roman" w:hAnsi="Times New Roman" w:cs="Times New Roman"/>
                <w:sz w:val="24"/>
                <w:szCs w:val="24"/>
              </w:rPr>
              <w:t xml:space="preserve"> measurement from soft tissue </w:t>
            </w:r>
            <w:proofErr w:type="spellStart"/>
            <w:r w:rsidRPr="005323C7">
              <w:rPr>
                <w:rFonts w:ascii="Times New Roman" w:hAnsi="Times New Roman" w:cs="Times New Roman"/>
                <w:sz w:val="24"/>
                <w:szCs w:val="24"/>
              </w:rPr>
              <w:t>subnasale</w:t>
            </w:r>
            <w:proofErr w:type="spellEnd"/>
            <w:r w:rsidRPr="005323C7">
              <w:rPr>
                <w:rFonts w:ascii="Times New Roman" w:hAnsi="Times New Roman" w:cs="Times New Roman"/>
                <w:sz w:val="24"/>
                <w:szCs w:val="24"/>
              </w:rPr>
              <w:t xml:space="preserve"> to soft tissue </w:t>
            </w:r>
            <w:proofErr w:type="spellStart"/>
            <w:r w:rsidRPr="005323C7">
              <w:rPr>
                <w:rFonts w:ascii="Times New Roman" w:hAnsi="Times New Roman" w:cs="Times New Roman"/>
                <w:sz w:val="24"/>
                <w:szCs w:val="24"/>
              </w:rPr>
              <w:t>menton</w:t>
            </w:r>
            <w:proofErr w:type="spellEnd"/>
            <w:r w:rsidRPr="005323C7">
              <w:rPr>
                <w:rFonts w:ascii="Times New Roman" w:hAnsi="Times New Roman" w:cs="Times New Roman"/>
                <w:sz w:val="24"/>
                <w:szCs w:val="24"/>
              </w:rPr>
              <w:t>.</w:t>
            </w:r>
          </w:p>
        </w:tc>
      </w:tr>
      <w:tr w:rsidR="00533A80" w:rsidTr="005323C7">
        <w:tc>
          <w:tcPr>
            <w:tcW w:w="2358" w:type="dxa"/>
          </w:tcPr>
          <w:p w:rsidR="00533A80" w:rsidRPr="005323C7" w:rsidRDefault="00533A80" w:rsidP="005323C7">
            <w:pPr>
              <w:pStyle w:val="NoSpacing"/>
              <w:rPr>
                <w:rFonts w:ascii="Times New Roman" w:hAnsi="Times New Roman" w:cs="Times New Roman"/>
                <w:sz w:val="24"/>
                <w:szCs w:val="24"/>
              </w:rPr>
            </w:pPr>
            <w:r w:rsidRPr="005323C7">
              <w:rPr>
                <w:rFonts w:ascii="Times New Roman" w:hAnsi="Times New Roman" w:cs="Times New Roman"/>
                <w:sz w:val="24"/>
                <w:szCs w:val="24"/>
              </w:rPr>
              <w:t xml:space="preserve">Lower facial height </w:t>
            </w:r>
            <w:proofErr w:type="spellStart"/>
            <w:r w:rsidR="006A262C">
              <w:rPr>
                <w:rFonts w:ascii="Times New Roman" w:hAnsi="Times New Roman" w:cs="Times New Roman"/>
                <w:sz w:val="24"/>
                <w:szCs w:val="24"/>
              </w:rPr>
              <w:t>cephalometric</w:t>
            </w:r>
            <w:proofErr w:type="spellEnd"/>
          </w:p>
        </w:tc>
        <w:tc>
          <w:tcPr>
            <w:tcW w:w="7218" w:type="dxa"/>
          </w:tcPr>
          <w:p w:rsidR="00533A80" w:rsidRPr="005323C7" w:rsidRDefault="00533A80" w:rsidP="005323C7">
            <w:pPr>
              <w:pStyle w:val="NoSpacing"/>
              <w:rPr>
                <w:rFonts w:ascii="Times New Roman" w:hAnsi="Times New Roman" w:cs="Times New Roman"/>
                <w:sz w:val="24"/>
                <w:szCs w:val="24"/>
              </w:rPr>
            </w:pPr>
            <w:r w:rsidRPr="005323C7">
              <w:rPr>
                <w:rFonts w:ascii="Times New Roman" w:hAnsi="Times New Roman" w:cs="Times New Roman"/>
                <w:sz w:val="24"/>
                <w:szCs w:val="24"/>
              </w:rPr>
              <w:t xml:space="preserve">The linear distance from anterior nasal spine (ANS) to </w:t>
            </w:r>
            <w:proofErr w:type="spellStart"/>
            <w:r w:rsidRPr="005323C7">
              <w:rPr>
                <w:rFonts w:ascii="Times New Roman" w:hAnsi="Times New Roman" w:cs="Times New Roman"/>
                <w:sz w:val="24"/>
                <w:szCs w:val="24"/>
              </w:rPr>
              <w:t>menton</w:t>
            </w:r>
            <w:proofErr w:type="spellEnd"/>
            <w:r w:rsidR="005323C7">
              <w:rPr>
                <w:rFonts w:ascii="Times New Roman" w:hAnsi="Times New Roman" w:cs="Times New Roman"/>
                <w:sz w:val="24"/>
                <w:szCs w:val="24"/>
              </w:rPr>
              <w:t>.</w:t>
            </w:r>
          </w:p>
        </w:tc>
      </w:tr>
      <w:tr w:rsidR="00452107" w:rsidTr="005323C7">
        <w:tc>
          <w:tcPr>
            <w:tcW w:w="2358" w:type="dxa"/>
          </w:tcPr>
          <w:p w:rsidR="00452107" w:rsidRPr="005323C7" w:rsidRDefault="00452107" w:rsidP="005323C7">
            <w:pPr>
              <w:pStyle w:val="NoSpacing"/>
              <w:rPr>
                <w:rFonts w:ascii="Times New Roman" w:hAnsi="Times New Roman" w:cs="Times New Roman"/>
                <w:sz w:val="24"/>
                <w:szCs w:val="24"/>
              </w:rPr>
            </w:pPr>
            <w:r w:rsidRPr="005323C7">
              <w:rPr>
                <w:rFonts w:ascii="Times New Roman" w:hAnsi="Times New Roman" w:cs="Times New Roman"/>
                <w:sz w:val="24"/>
                <w:szCs w:val="24"/>
              </w:rPr>
              <w:t>Clinical crown height</w:t>
            </w:r>
          </w:p>
        </w:tc>
        <w:tc>
          <w:tcPr>
            <w:tcW w:w="7218" w:type="dxa"/>
          </w:tcPr>
          <w:p w:rsidR="00452107" w:rsidRPr="005323C7" w:rsidRDefault="00452107" w:rsidP="005323C7">
            <w:pPr>
              <w:pStyle w:val="NoSpacing"/>
              <w:rPr>
                <w:rFonts w:ascii="Times New Roman" w:hAnsi="Times New Roman" w:cs="Times New Roman"/>
                <w:sz w:val="24"/>
                <w:szCs w:val="24"/>
              </w:rPr>
            </w:pPr>
            <w:r w:rsidRPr="005323C7">
              <w:rPr>
                <w:rFonts w:ascii="Times New Roman" w:hAnsi="Times New Roman" w:cs="Times New Roman"/>
                <w:sz w:val="24"/>
                <w:szCs w:val="24"/>
              </w:rPr>
              <w:t xml:space="preserve">Measurement of crown that can be seen </w:t>
            </w:r>
            <w:proofErr w:type="spellStart"/>
            <w:r w:rsidRPr="005323C7">
              <w:rPr>
                <w:rFonts w:ascii="Times New Roman" w:hAnsi="Times New Roman" w:cs="Times New Roman"/>
                <w:sz w:val="24"/>
                <w:szCs w:val="24"/>
              </w:rPr>
              <w:t>intraorally</w:t>
            </w:r>
            <w:proofErr w:type="spellEnd"/>
            <w:r w:rsidRPr="005323C7">
              <w:rPr>
                <w:rFonts w:ascii="Times New Roman" w:hAnsi="Times New Roman" w:cs="Times New Roman"/>
                <w:sz w:val="24"/>
                <w:szCs w:val="24"/>
              </w:rPr>
              <w:t>.</w:t>
            </w:r>
          </w:p>
        </w:tc>
      </w:tr>
    </w:tbl>
    <w:p w:rsidR="00C93F3B" w:rsidRDefault="00C93F3B" w:rsidP="00985AE3">
      <w:pPr>
        <w:autoSpaceDE w:val="0"/>
        <w:autoSpaceDN w:val="0"/>
        <w:adjustRightInd w:val="0"/>
        <w:spacing w:after="0" w:line="360" w:lineRule="auto"/>
        <w:jc w:val="both"/>
        <w:rPr>
          <w:rFonts w:ascii="Times New Roman" w:hAnsi="Times New Roman" w:cs="Times New Roman"/>
          <w:sz w:val="24"/>
          <w:szCs w:val="18"/>
        </w:rPr>
      </w:pPr>
    </w:p>
    <w:p w:rsidR="00CD5ED7" w:rsidRDefault="00C93F3B" w:rsidP="00985AE3">
      <w:pPr>
        <w:autoSpaceDE w:val="0"/>
        <w:autoSpaceDN w:val="0"/>
        <w:adjustRightInd w:val="0"/>
        <w:spacing w:after="0" w:line="360" w:lineRule="auto"/>
        <w:jc w:val="both"/>
        <w:rPr>
          <w:rFonts w:ascii="Times New Roman" w:hAnsi="Times New Roman" w:cs="Times New Roman"/>
          <w:sz w:val="24"/>
          <w:szCs w:val="18"/>
        </w:rPr>
      </w:pPr>
      <w:r>
        <w:rPr>
          <w:rFonts w:ascii="Times New Roman" w:hAnsi="Times New Roman" w:cs="Times New Roman"/>
          <w:sz w:val="24"/>
          <w:szCs w:val="18"/>
        </w:rPr>
        <w:t xml:space="preserve">  </w:t>
      </w:r>
      <w:r w:rsidR="00CD5ED7">
        <w:rPr>
          <w:rFonts w:ascii="Times New Roman" w:hAnsi="Times New Roman" w:cs="Times New Roman"/>
          <w:sz w:val="24"/>
          <w:szCs w:val="18"/>
        </w:rPr>
        <w:t xml:space="preserve"> </w:t>
      </w:r>
      <w:r>
        <w:rPr>
          <w:rFonts w:ascii="Times New Roman" w:hAnsi="Times New Roman" w:cs="Times New Roman"/>
          <w:noProof/>
          <w:sz w:val="24"/>
          <w:szCs w:val="18"/>
        </w:rPr>
        <w:drawing>
          <wp:inline distT="0" distB="0" distL="0" distR="0" wp14:anchorId="038643DE" wp14:editId="50E64070">
            <wp:extent cx="1409700" cy="140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IGI\paper presentation\New folder (10)\crop\crop\IMG_2985.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r>
        <w:rPr>
          <w:rFonts w:ascii="Times New Roman" w:hAnsi="Times New Roman" w:cs="Times New Roman"/>
          <w:sz w:val="24"/>
          <w:szCs w:val="18"/>
        </w:rPr>
        <w:t xml:space="preserve"> </w:t>
      </w:r>
      <w:r>
        <w:rPr>
          <w:rFonts w:ascii="Times New Roman" w:hAnsi="Times New Roman" w:cs="Times New Roman"/>
          <w:noProof/>
          <w:sz w:val="24"/>
          <w:szCs w:val="18"/>
        </w:rPr>
        <w:drawing>
          <wp:inline distT="0" distB="0" distL="0" distR="0" wp14:anchorId="2CBFCA3D" wp14:editId="54BE3E6E">
            <wp:extent cx="1400175" cy="1400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IGI\paper presentation\New folder (10)\crop\crop\IMG_2990.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400175" cy="1400175"/>
                    </a:xfrm>
                    <a:prstGeom prst="rect">
                      <a:avLst/>
                    </a:prstGeom>
                    <a:noFill/>
                    <a:ln>
                      <a:noFill/>
                    </a:ln>
                  </pic:spPr>
                </pic:pic>
              </a:graphicData>
            </a:graphic>
          </wp:inline>
        </w:drawing>
      </w:r>
      <w:r>
        <w:rPr>
          <w:rFonts w:ascii="Times New Roman" w:hAnsi="Times New Roman" w:cs="Times New Roman"/>
          <w:sz w:val="24"/>
          <w:szCs w:val="18"/>
        </w:rPr>
        <w:t xml:space="preserve"> </w:t>
      </w:r>
      <w:r>
        <w:rPr>
          <w:rFonts w:ascii="Times New Roman" w:hAnsi="Times New Roman" w:cs="Times New Roman"/>
          <w:noProof/>
          <w:sz w:val="24"/>
          <w:szCs w:val="18"/>
        </w:rPr>
        <w:drawing>
          <wp:inline distT="0" distB="0" distL="0" distR="0" wp14:anchorId="2CBFCA3D" wp14:editId="54BE3E6E">
            <wp:extent cx="1409700" cy="1409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IGI\paper presentation\New folder (10)\crop\crop\IMG_299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r>
        <w:rPr>
          <w:rFonts w:ascii="Times New Roman" w:hAnsi="Times New Roman" w:cs="Times New Roman"/>
          <w:sz w:val="24"/>
          <w:szCs w:val="18"/>
        </w:rPr>
        <w:t xml:space="preserve"> </w:t>
      </w:r>
      <w:r w:rsidR="00CD5ED7">
        <w:rPr>
          <w:rFonts w:ascii="Times New Roman" w:hAnsi="Times New Roman" w:cs="Times New Roman"/>
          <w:noProof/>
          <w:sz w:val="24"/>
          <w:szCs w:val="18"/>
        </w:rPr>
        <w:drawing>
          <wp:inline distT="0" distB="0" distL="0" distR="0" wp14:anchorId="10F49DDC" wp14:editId="1358C0C4">
            <wp:extent cx="1409700" cy="1409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JIGI\paper presentation\New folder (10)\crop\crop\IMG_2990.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409700" cy="1409700"/>
                    </a:xfrm>
                    <a:prstGeom prst="rect">
                      <a:avLst/>
                    </a:prstGeom>
                    <a:noFill/>
                    <a:ln>
                      <a:noFill/>
                    </a:ln>
                  </pic:spPr>
                </pic:pic>
              </a:graphicData>
            </a:graphic>
          </wp:inline>
        </w:drawing>
      </w:r>
    </w:p>
    <w:p w:rsidR="00C93F3B" w:rsidRDefault="00C93F3B" w:rsidP="00985AE3">
      <w:pPr>
        <w:autoSpaceDE w:val="0"/>
        <w:autoSpaceDN w:val="0"/>
        <w:adjustRightInd w:val="0"/>
        <w:spacing w:after="0" w:line="360" w:lineRule="auto"/>
        <w:jc w:val="both"/>
        <w:rPr>
          <w:rFonts w:ascii="Times New Roman" w:hAnsi="Times New Roman" w:cs="Times New Roman"/>
          <w:sz w:val="24"/>
          <w:szCs w:val="18"/>
        </w:rPr>
      </w:pPr>
      <w:r>
        <w:rPr>
          <w:rFonts w:ascii="Times New Roman" w:hAnsi="Times New Roman" w:cs="Times New Roman"/>
          <w:sz w:val="24"/>
          <w:szCs w:val="18"/>
        </w:rPr>
        <w:t xml:space="preserve">                11                                  16                                     41                                   46</w:t>
      </w:r>
    </w:p>
    <w:p w:rsidR="00CD5ED7" w:rsidRPr="00CD5ED7" w:rsidRDefault="00CD5ED7" w:rsidP="00CD5ED7">
      <w:pPr>
        <w:autoSpaceDE w:val="0"/>
        <w:autoSpaceDN w:val="0"/>
        <w:adjustRightInd w:val="0"/>
        <w:spacing w:after="0" w:line="360" w:lineRule="auto"/>
        <w:jc w:val="center"/>
        <w:rPr>
          <w:rFonts w:ascii="Times New Roman" w:hAnsi="Times New Roman" w:cs="Times New Roman"/>
          <w:b/>
          <w:sz w:val="24"/>
          <w:szCs w:val="18"/>
        </w:rPr>
      </w:pPr>
      <w:r w:rsidRPr="00CD5ED7">
        <w:rPr>
          <w:rFonts w:ascii="Times New Roman" w:hAnsi="Times New Roman" w:cs="Times New Roman"/>
          <w:b/>
          <w:sz w:val="24"/>
          <w:szCs w:val="18"/>
        </w:rPr>
        <w:t>Fig</w:t>
      </w:r>
      <w:r w:rsidR="00292357">
        <w:rPr>
          <w:rFonts w:ascii="Times New Roman" w:hAnsi="Times New Roman" w:cs="Times New Roman"/>
          <w:b/>
          <w:sz w:val="24"/>
          <w:szCs w:val="18"/>
        </w:rPr>
        <w:t xml:space="preserve">ure </w:t>
      </w:r>
      <w:proofErr w:type="gramStart"/>
      <w:r w:rsidR="00292357">
        <w:rPr>
          <w:rFonts w:ascii="Times New Roman" w:hAnsi="Times New Roman" w:cs="Times New Roman"/>
          <w:b/>
          <w:sz w:val="24"/>
          <w:szCs w:val="18"/>
        </w:rPr>
        <w:t>1 :</w:t>
      </w:r>
      <w:proofErr w:type="gramEnd"/>
      <w:r w:rsidR="00292357">
        <w:rPr>
          <w:rFonts w:ascii="Times New Roman" w:hAnsi="Times New Roman" w:cs="Times New Roman"/>
          <w:b/>
          <w:sz w:val="24"/>
          <w:szCs w:val="18"/>
        </w:rPr>
        <w:t>- M</w:t>
      </w:r>
      <w:r w:rsidR="00E82BC9">
        <w:rPr>
          <w:rFonts w:ascii="Times New Roman" w:hAnsi="Times New Roman" w:cs="Times New Roman"/>
          <w:b/>
          <w:sz w:val="24"/>
          <w:szCs w:val="18"/>
        </w:rPr>
        <w:t>easurement  of Incisor and Molar by S</w:t>
      </w:r>
      <w:r w:rsidRPr="00CD5ED7">
        <w:rPr>
          <w:rFonts w:ascii="Times New Roman" w:hAnsi="Times New Roman" w:cs="Times New Roman"/>
          <w:b/>
          <w:sz w:val="24"/>
          <w:szCs w:val="18"/>
        </w:rPr>
        <w:t>lide gauge</w:t>
      </w:r>
    </w:p>
    <w:p w:rsidR="00C2575F" w:rsidRDefault="005B35BB" w:rsidP="00CD5ED7">
      <w:pPr>
        <w:autoSpaceDE w:val="0"/>
        <w:autoSpaceDN w:val="0"/>
        <w:adjustRightInd w:val="0"/>
        <w:spacing w:after="0" w:line="360" w:lineRule="auto"/>
        <w:jc w:val="center"/>
        <w:rPr>
          <w:rFonts w:ascii="Times New Roman" w:hAnsi="Times New Roman" w:cs="Times New Roman"/>
          <w:sz w:val="24"/>
          <w:szCs w:val="18"/>
        </w:rPr>
      </w:pPr>
      <w:r w:rsidRPr="005B35BB">
        <w:rPr>
          <w:rFonts w:ascii="Times New Roman" w:hAnsi="Times New Roman" w:cs="Times New Roman"/>
          <w:noProof/>
          <w:sz w:val="24"/>
          <w:szCs w:val="18"/>
        </w:rPr>
        <w:lastRenderedPageBreak/>
        <w:drawing>
          <wp:inline distT="0" distB="0" distL="0" distR="0" wp14:anchorId="4FB80B3C" wp14:editId="6293CEEB">
            <wp:extent cx="1624937" cy="2419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2500" t="15001" r="30000" b="10555"/>
                    <a:stretch/>
                  </pic:blipFill>
                  <pic:spPr bwMode="auto">
                    <a:xfrm>
                      <a:off x="0" y="0"/>
                      <a:ext cx="1625164" cy="2419687"/>
                    </a:xfrm>
                    <a:prstGeom prst="rect">
                      <a:avLst/>
                    </a:prstGeom>
                    <a:ln>
                      <a:noFill/>
                    </a:ln>
                    <a:extLst>
                      <a:ext uri="{53640926-AAD7-44D8-BBD7-CCE9431645EC}">
                        <a14:shadowObscured xmlns:a14="http://schemas.microsoft.com/office/drawing/2010/main"/>
                      </a:ext>
                    </a:extLst>
                  </pic:spPr>
                </pic:pic>
              </a:graphicData>
            </a:graphic>
          </wp:inline>
        </w:drawing>
      </w:r>
    </w:p>
    <w:p w:rsidR="00C2575F" w:rsidRDefault="00CD5ED7" w:rsidP="00E4227C">
      <w:pPr>
        <w:autoSpaceDE w:val="0"/>
        <w:autoSpaceDN w:val="0"/>
        <w:adjustRightInd w:val="0"/>
        <w:spacing w:after="0"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Figure.</w:t>
      </w:r>
      <w:proofErr w:type="gramEnd"/>
      <w:r>
        <w:rPr>
          <w:rFonts w:ascii="Times New Roman" w:hAnsi="Times New Roman" w:cs="Times New Roman"/>
          <w:b/>
          <w:bCs/>
          <w:sz w:val="24"/>
          <w:szCs w:val="24"/>
        </w:rPr>
        <w:t xml:space="preserve"> 2</w:t>
      </w:r>
      <w:r w:rsidR="005323C7">
        <w:rPr>
          <w:rFonts w:ascii="Times New Roman" w:hAnsi="Times New Roman" w:cs="Times New Roman"/>
          <w:b/>
          <w:bCs/>
          <w:sz w:val="24"/>
          <w:szCs w:val="24"/>
        </w:rPr>
        <w:t xml:space="preserve">:- </w:t>
      </w:r>
      <w:r w:rsidR="00FF01D7">
        <w:rPr>
          <w:rFonts w:ascii="Times New Roman" w:hAnsi="Times New Roman" w:cs="Times New Roman"/>
          <w:b/>
          <w:bCs/>
          <w:sz w:val="24"/>
          <w:szCs w:val="24"/>
        </w:rPr>
        <w:t>Measurement of Lower Facial Height</w:t>
      </w:r>
    </w:p>
    <w:p w:rsidR="005B35BB" w:rsidRDefault="005B35BB" w:rsidP="00E4227C">
      <w:pPr>
        <w:autoSpaceDE w:val="0"/>
        <w:autoSpaceDN w:val="0"/>
        <w:adjustRightInd w:val="0"/>
        <w:spacing w:after="0" w:line="360" w:lineRule="auto"/>
        <w:jc w:val="center"/>
        <w:rPr>
          <w:rFonts w:ascii="Times New Roman" w:hAnsi="Times New Roman" w:cs="Times New Roman"/>
          <w:b/>
          <w:bCs/>
          <w:sz w:val="24"/>
          <w:szCs w:val="24"/>
        </w:rPr>
      </w:pPr>
      <w:r w:rsidRPr="005B35BB">
        <w:rPr>
          <w:rFonts w:ascii="Times New Roman" w:hAnsi="Times New Roman" w:cs="Times New Roman"/>
          <w:b/>
          <w:bCs/>
          <w:noProof/>
          <w:sz w:val="24"/>
          <w:szCs w:val="24"/>
        </w:rPr>
        <w:drawing>
          <wp:inline distT="0" distB="0" distL="0" distR="0" wp14:anchorId="5B75EA35" wp14:editId="55A6CF1D">
            <wp:extent cx="3500424" cy="2724150"/>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0759" t="12025" r="12183" b="8017"/>
                    <a:stretch/>
                  </pic:blipFill>
                  <pic:spPr bwMode="auto">
                    <a:xfrm>
                      <a:off x="0" y="0"/>
                      <a:ext cx="3501774" cy="2725200"/>
                    </a:xfrm>
                    <a:prstGeom prst="rect">
                      <a:avLst/>
                    </a:prstGeom>
                    <a:ln>
                      <a:noFill/>
                    </a:ln>
                    <a:extLst>
                      <a:ext uri="{53640926-AAD7-44D8-BBD7-CCE9431645EC}">
                        <a14:shadowObscured xmlns:a14="http://schemas.microsoft.com/office/drawing/2010/main"/>
                      </a:ext>
                    </a:extLst>
                  </pic:spPr>
                </pic:pic>
              </a:graphicData>
            </a:graphic>
          </wp:inline>
        </w:drawing>
      </w:r>
    </w:p>
    <w:p w:rsidR="00FF01D7" w:rsidRDefault="00CD5ED7" w:rsidP="00E4227C">
      <w:pPr>
        <w:autoSpaceDE w:val="0"/>
        <w:autoSpaceDN w:val="0"/>
        <w:adjustRightInd w:val="0"/>
        <w:spacing w:after="0" w:line="360" w:lineRule="auto"/>
        <w:jc w:val="center"/>
        <w:rPr>
          <w:rFonts w:ascii="Times New Roman" w:hAnsi="Times New Roman" w:cs="Times New Roman"/>
          <w:sz w:val="24"/>
          <w:szCs w:val="18"/>
        </w:rPr>
      </w:pPr>
      <w:proofErr w:type="gramStart"/>
      <w:r>
        <w:rPr>
          <w:rFonts w:ascii="Times New Roman" w:hAnsi="Times New Roman" w:cs="Times New Roman"/>
          <w:b/>
          <w:bCs/>
          <w:sz w:val="24"/>
          <w:szCs w:val="24"/>
        </w:rPr>
        <w:t>Figure.</w:t>
      </w:r>
      <w:proofErr w:type="gramEnd"/>
      <w:r>
        <w:rPr>
          <w:rFonts w:ascii="Times New Roman" w:hAnsi="Times New Roman" w:cs="Times New Roman"/>
          <w:b/>
          <w:bCs/>
          <w:sz w:val="24"/>
          <w:szCs w:val="24"/>
        </w:rPr>
        <w:t xml:space="preserve"> 3</w:t>
      </w:r>
      <w:r w:rsidR="00FF01D7">
        <w:rPr>
          <w:rFonts w:ascii="Times New Roman" w:hAnsi="Times New Roman" w:cs="Times New Roman"/>
          <w:b/>
          <w:bCs/>
          <w:sz w:val="24"/>
          <w:szCs w:val="24"/>
        </w:rPr>
        <w:t>:- Measureme</w:t>
      </w:r>
      <w:r w:rsidR="005323C7">
        <w:rPr>
          <w:rFonts w:ascii="Times New Roman" w:hAnsi="Times New Roman" w:cs="Times New Roman"/>
          <w:b/>
          <w:bCs/>
          <w:sz w:val="24"/>
          <w:szCs w:val="24"/>
        </w:rPr>
        <w:t>nt of clinical crown height (A-</w:t>
      </w:r>
      <w:r w:rsidR="00FF01D7">
        <w:rPr>
          <w:rFonts w:ascii="Times New Roman" w:hAnsi="Times New Roman" w:cs="Times New Roman"/>
          <w:b/>
          <w:bCs/>
          <w:sz w:val="24"/>
          <w:szCs w:val="24"/>
        </w:rPr>
        <w:t>11; B-16; C-41; D-46)</w:t>
      </w:r>
    </w:p>
    <w:p w:rsidR="00222910" w:rsidRPr="00C07042" w:rsidRDefault="00C2575F" w:rsidP="00985AE3">
      <w:pPr>
        <w:autoSpaceDE w:val="0"/>
        <w:autoSpaceDN w:val="0"/>
        <w:adjustRightInd w:val="0"/>
        <w:spacing w:after="0" w:line="360" w:lineRule="auto"/>
        <w:jc w:val="both"/>
        <w:rPr>
          <w:rFonts w:ascii="Times New Roman" w:hAnsi="Times New Roman" w:cs="Times New Roman"/>
          <w:sz w:val="24"/>
          <w:szCs w:val="18"/>
        </w:rPr>
      </w:pPr>
      <w:r>
        <w:rPr>
          <w:rFonts w:ascii="Times New Roman" w:hAnsi="Times New Roman" w:cs="Times New Roman"/>
          <w:sz w:val="24"/>
          <w:szCs w:val="18"/>
        </w:rPr>
        <w:t xml:space="preserve">                                                      </w:t>
      </w:r>
      <w:r w:rsidR="000F46B9">
        <w:rPr>
          <w:rFonts w:ascii="Times New Roman" w:hAnsi="Times New Roman" w:cs="Times New Roman"/>
          <w:sz w:val="24"/>
          <w:szCs w:val="18"/>
        </w:rPr>
        <w:t xml:space="preserve">  </w:t>
      </w:r>
      <w:r w:rsidR="000F46B9" w:rsidRPr="000F46B9">
        <w:rPr>
          <w:rFonts w:ascii="Times New Roman" w:hAnsi="Times New Roman" w:cs="Times New Roman"/>
          <w:noProof/>
          <w:sz w:val="24"/>
          <w:szCs w:val="18"/>
        </w:rPr>
        <w:drawing>
          <wp:inline distT="0" distB="0" distL="0" distR="0" wp14:anchorId="7B647FE5" wp14:editId="598B77C4">
            <wp:extent cx="1866900" cy="16999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5208" t="13889" r="21876" b="9722"/>
                    <a:stretch/>
                  </pic:blipFill>
                  <pic:spPr bwMode="auto">
                    <a:xfrm>
                      <a:off x="0" y="0"/>
                      <a:ext cx="1866900" cy="1699992"/>
                    </a:xfrm>
                    <a:prstGeom prst="rect">
                      <a:avLst/>
                    </a:prstGeom>
                    <a:ln>
                      <a:noFill/>
                    </a:ln>
                    <a:extLst>
                      <a:ext uri="{53640926-AAD7-44D8-BBD7-CCE9431645EC}">
                        <a14:shadowObscured xmlns:a14="http://schemas.microsoft.com/office/drawing/2010/main"/>
                      </a:ext>
                    </a:extLst>
                  </pic:spPr>
                </pic:pic>
              </a:graphicData>
            </a:graphic>
          </wp:inline>
        </w:drawing>
      </w:r>
    </w:p>
    <w:p w:rsidR="00CD5ED7" w:rsidRDefault="00CD5ED7" w:rsidP="00CD5ED7">
      <w:pPr>
        <w:autoSpaceDE w:val="0"/>
        <w:autoSpaceDN w:val="0"/>
        <w:adjustRightInd w:val="0"/>
        <w:spacing w:after="0" w:line="36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Figure.</w:t>
      </w:r>
      <w:proofErr w:type="gramEnd"/>
      <w:r>
        <w:rPr>
          <w:rFonts w:ascii="Times New Roman" w:hAnsi="Times New Roman" w:cs="Times New Roman"/>
          <w:b/>
          <w:bCs/>
          <w:sz w:val="24"/>
          <w:szCs w:val="24"/>
        </w:rPr>
        <w:t xml:space="preserve"> 4</w:t>
      </w:r>
      <w:r w:rsidR="000F46B9">
        <w:rPr>
          <w:rFonts w:ascii="Times New Roman" w:hAnsi="Times New Roman" w:cs="Times New Roman"/>
          <w:b/>
          <w:bCs/>
          <w:sz w:val="24"/>
          <w:szCs w:val="24"/>
        </w:rPr>
        <w:t xml:space="preserve">:- </w:t>
      </w:r>
      <w:r w:rsidR="00FF01D7">
        <w:rPr>
          <w:rFonts w:ascii="Times New Roman" w:hAnsi="Times New Roman" w:cs="Times New Roman"/>
          <w:b/>
          <w:bCs/>
          <w:sz w:val="24"/>
          <w:szCs w:val="24"/>
        </w:rPr>
        <w:t xml:space="preserve">Measurement of </w:t>
      </w:r>
      <w:proofErr w:type="spellStart"/>
      <w:r w:rsidR="000F46B9">
        <w:rPr>
          <w:rFonts w:ascii="Times New Roman" w:hAnsi="Times New Roman" w:cs="Times New Roman"/>
          <w:b/>
          <w:bCs/>
          <w:sz w:val="24"/>
          <w:szCs w:val="24"/>
        </w:rPr>
        <w:t>Cephalometric</w:t>
      </w:r>
      <w:proofErr w:type="spellEnd"/>
      <w:r w:rsidR="000F46B9">
        <w:rPr>
          <w:rFonts w:ascii="Times New Roman" w:hAnsi="Times New Roman" w:cs="Times New Roman"/>
          <w:b/>
          <w:bCs/>
          <w:sz w:val="24"/>
          <w:szCs w:val="24"/>
        </w:rPr>
        <w:t xml:space="preserve"> Lower Facial Height</w:t>
      </w:r>
    </w:p>
    <w:p w:rsidR="008343AB" w:rsidRDefault="008343AB" w:rsidP="00CD5ED7">
      <w:pPr>
        <w:autoSpaceDE w:val="0"/>
        <w:autoSpaceDN w:val="0"/>
        <w:adjustRightInd w:val="0"/>
        <w:spacing w:after="0" w:line="360" w:lineRule="auto"/>
        <w:rPr>
          <w:rFonts w:ascii="Times New Roman" w:hAnsi="Times New Roman" w:cs="Times New Roman"/>
          <w:b/>
          <w:bCs/>
          <w:sz w:val="24"/>
          <w:szCs w:val="24"/>
        </w:rPr>
      </w:pPr>
    </w:p>
    <w:p w:rsidR="00214EDE" w:rsidRDefault="005323C7" w:rsidP="00CD5ED7">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Results</w:t>
      </w:r>
    </w:p>
    <w:p w:rsidR="00EA34C9" w:rsidRPr="004F71C6" w:rsidRDefault="00222910" w:rsidP="004F71C6">
      <w:pPr>
        <w:pStyle w:val="NoSpacing"/>
        <w:jc w:val="both"/>
        <w:rPr>
          <w:rFonts w:ascii="Times New Roman" w:hAnsi="Times New Roman" w:cs="Times New Roman"/>
          <w:sz w:val="24"/>
        </w:rPr>
      </w:pPr>
      <w:r w:rsidRPr="004F71C6">
        <w:rPr>
          <w:rFonts w:ascii="Times New Roman" w:hAnsi="Times New Roman" w:cs="Times New Roman"/>
          <w:sz w:val="24"/>
        </w:rPr>
        <w:t>A mean age of 20.67</w:t>
      </w:r>
      <w:r w:rsidR="008D13B4">
        <w:rPr>
          <w:rFonts w:ascii="Times New Roman" w:hAnsi="Times New Roman" w:cs="Times New Roman"/>
          <w:sz w:val="24"/>
        </w:rPr>
        <w:t>±1.34 and 20.64±1.34 years was o</w:t>
      </w:r>
      <w:r w:rsidRPr="004F71C6">
        <w:rPr>
          <w:rFonts w:ascii="Times New Roman" w:hAnsi="Times New Roman" w:cs="Times New Roman"/>
          <w:sz w:val="24"/>
        </w:rPr>
        <w:t>bs</w:t>
      </w:r>
      <w:r w:rsidR="003925D9" w:rsidRPr="004F71C6">
        <w:rPr>
          <w:rFonts w:ascii="Times New Roman" w:hAnsi="Times New Roman" w:cs="Times New Roman"/>
          <w:sz w:val="24"/>
        </w:rPr>
        <w:t xml:space="preserve">erved with males and females in </w:t>
      </w:r>
      <w:proofErr w:type="spellStart"/>
      <w:r w:rsidRPr="004F71C6">
        <w:rPr>
          <w:rFonts w:ascii="Times New Roman" w:hAnsi="Times New Roman" w:cs="Times New Roman"/>
          <w:sz w:val="24"/>
        </w:rPr>
        <w:t>hypodivergent</w:t>
      </w:r>
      <w:proofErr w:type="spellEnd"/>
      <w:r w:rsidRPr="004F71C6">
        <w:rPr>
          <w:rFonts w:ascii="Times New Roman" w:hAnsi="Times New Roman" w:cs="Times New Roman"/>
          <w:sz w:val="24"/>
        </w:rPr>
        <w:t xml:space="preserve">, </w:t>
      </w:r>
      <w:proofErr w:type="spellStart"/>
      <w:r w:rsidRPr="004F71C6">
        <w:rPr>
          <w:rFonts w:ascii="Times New Roman" w:hAnsi="Times New Roman" w:cs="Times New Roman"/>
          <w:sz w:val="24"/>
        </w:rPr>
        <w:t>hyp</w:t>
      </w:r>
      <w:r w:rsidR="005323C7">
        <w:rPr>
          <w:rFonts w:ascii="Times New Roman" w:hAnsi="Times New Roman" w:cs="Times New Roman"/>
          <w:sz w:val="24"/>
        </w:rPr>
        <w:t>erdivergent</w:t>
      </w:r>
      <w:proofErr w:type="spellEnd"/>
      <w:r w:rsidR="005323C7">
        <w:rPr>
          <w:rFonts w:ascii="Times New Roman" w:hAnsi="Times New Roman" w:cs="Times New Roman"/>
          <w:sz w:val="24"/>
        </w:rPr>
        <w:t xml:space="preserve"> and </w:t>
      </w:r>
      <w:proofErr w:type="spellStart"/>
      <w:r w:rsidR="005323C7">
        <w:rPr>
          <w:rFonts w:ascii="Times New Roman" w:hAnsi="Times New Roman" w:cs="Times New Roman"/>
          <w:sz w:val="24"/>
        </w:rPr>
        <w:t>normodivergent</w:t>
      </w:r>
      <w:proofErr w:type="spellEnd"/>
      <w:r w:rsidR="005323C7">
        <w:rPr>
          <w:rFonts w:ascii="Times New Roman" w:hAnsi="Times New Roman" w:cs="Times New Roman"/>
          <w:sz w:val="24"/>
        </w:rPr>
        <w:t xml:space="preserve">. </w:t>
      </w:r>
      <w:r w:rsidRPr="004F71C6">
        <w:rPr>
          <w:rFonts w:ascii="Times New Roman" w:hAnsi="Times New Roman" w:cs="Times New Roman"/>
          <w:sz w:val="24"/>
        </w:rPr>
        <w:t>A statistical</w:t>
      </w:r>
      <w:r w:rsidR="008D13B4">
        <w:rPr>
          <w:rFonts w:ascii="Times New Roman" w:hAnsi="Times New Roman" w:cs="Times New Roman"/>
          <w:sz w:val="24"/>
        </w:rPr>
        <w:t>ly non-</w:t>
      </w:r>
      <w:r w:rsidR="003925D9" w:rsidRPr="004F71C6">
        <w:rPr>
          <w:rFonts w:ascii="Times New Roman" w:hAnsi="Times New Roman" w:cs="Times New Roman"/>
          <w:sz w:val="24"/>
        </w:rPr>
        <w:t xml:space="preserve">significant difference was </w:t>
      </w:r>
      <w:r w:rsidRPr="004F71C6">
        <w:rPr>
          <w:rFonts w:ascii="Times New Roman" w:hAnsi="Times New Roman" w:cs="Times New Roman"/>
          <w:sz w:val="24"/>
        </w:rPr>
        <w:t xml:space="preserve">observed for age in between males and females in </w:t>
      </w:r>
      <w:proofErr w:type="spellStart"/>
      <w:r w:rsidRPr="004F71C6">
        <w:rPr>
          <w:rFonts w:ascii="Times New Roman" w:hAnsi="Times New Roman" w:cs="Times New Roman"/>
          <w:sz w:val="24"/>
        </w:rPr>
        <w:t>hy</w:t>
      </w:r>
      <w:r w:rsidR="00214EDE" w:rsidRPr="004F71C6">
        <w:rPr>
          <w:rFonts w:ascii="Times New Roman" w:hAnsi="Times New Roman" w:cs="Times New Roman"/>
          <w:sz w:val="24"/>
        </w:rPr>
        <w:t>podivergent</w:t>
      </w:r>
      <w:proofErr w:type="spellEnd"/>
      <w:r w:rsidR="00214EDE" w:rsidRPr="004F71C6">
        <w:rPr>
          <w:rFonts w:ascii="Times New Roman" w:hAnsi="Times New Roman" w:cs="Times New Roman"/>
          <w:sz w:val="24"/>
        </w:rPr>
        <w:t xml:space="preserve">, </w:t>
      </w:r>
      <w:proofErr w:type="spellStart"/>
      <w:r w:rsidR="00214EDE" w:rsidRPr="004F71C6">
        <w:rPr>
          <w:rFonts w:ascii="Times New Roman" w:hAnsi="Times New Roman" w:cs="Times New Roman"/>
          <w:sz w:val="24"/>
        </w:rPr>
        <w:t>hyperdivergent</w:t>
      </w:r>
      <w:proofErr w:type="spellEnd"/>
      <w:r w:rsidR="00214EDE" w:rsidRPr="004F71C6">
        <w:rPr>
          <w:rFonts w:ascii="Times New Roman" w:hAnsi="Times New Roman" w:cs="Times New Roman"/>
          <w:sz w:val="24"/>
        </w:rPr>
        <w:t xml:space="preserve"> and </w:t>
      </w:r>
      <w:proofErr w:type="spellStart"/>
      <w:r w:rsidR="00EA34C9" w:rsidRPr="004F71C6">
        <w:rPr>
          <w:rFonts w:ascii="Times New Roman" w:hAnsi="Times New Roman" w:cs="Times New Roman"/>
          <w:sz w:val="24"/>
        </w:rPr>
        <w:t>normodivergent</w:t>
      </w:r>
      <w:proofErr w:type="spellEnd"/>
      <w:r w:rsidR="00EA34C9" w:rsidRPr="004F71C6">
        <w:rPr>
          <w:rFonts w:ascii="Times New Roman" w:hAnsi="Times New Roman" w:cs="Times New Roman"/>
          <w:sz w:val="24"/>
        </w:rPr>
        <w:t>.</w:t>
      </w:r>
    </w:p>
    <w:p w:rsidR="003925D9" w:rsidRDefault="00222910" w:rsidP="00985AE3">
      <w:pPr>
        <w:autoSpaceDE w:val="0"/>
        <w:autoSpaceDN w:val="0"/>
        <w:adjustRightInd w:val="0"/>
        <w:spacing w:after="0" w:line="240" w:lineRule="auto"/>
        <w:jc w:val="both"/>
        <w:rPr>
          <w:rFonts w:ascii="Times New Roman" w:hAnsi="Times New Roman" w:cs="Times New Roman"/>
          <w:b/>
          <w:bCs/>
          <w:sz w:val="24"/>
          <w:szCs w:val="18"/>
        </w:rPr>
      </w:pPr>
      <w:r w:rsidRPr="00BA2FF7">
        <w:rPr>
          <w:rFonts w:ascii="Times New Roman" w:hAnsi="Times New Roman" w:cs="Times New Roman"/>
          <w:sz w:val="24"/>
          <w:szCs w:val="18"/>
        </w:rPr>
        <w:t>On an overall a mean valu</w:t>
      </w:r>
      <w:r w:rsidR="003925D9">
        <w:rPr>
          <w:rFonts w:ascii="Times New Roman" w:hAnsi="Times New Roman" w:cs="Times New Roman"/>
          <w:sz w:val="24"/>
          <w:szCs w:val="18"/>
        </w:rPr>
        <w:t>e of 10.08±0.89 mm and 9.92±1.00</w:t>
      </w:r>
      <w:r w:rsidR="00BA2FF7" w:rsidRPr="00BA2FF7">
        <w:rPr>
          <w:rFonts w:ascii="Times New Roman" w:hAnsi="Times New Roman" w:cs="Times New Roman"/>
          <w:sz w:val="24"/>
          <w:szCs w:val="18"/>
        </w:rPr>
        <w:t xml:space="preserve"> </w:t>
      </w:r>
      <w:r w:rsidR="00214EDE">
        <w:rPr>
          <w:rFonts w:ascii="Times New Roman" w:hAnsi="Times New Roman" w:cs="Times New Roman"/>
          <w:sz w:val="24"/>
          <w:szCs w:val="18"/>
        </w:rPr>
        <w:t xml:space="preserve">mm </w:t>
      </w:r>
      <w:r w:rsidR="003925D9">
        <w:rPr>
          <w:rFonts w:ascii="Times New Roman" w:hAnsi="Times New Roman" w:cs="Times New Roman"/>
          <w:sz w:val="24"/>
          <w:szCs w:val="18"/>
        </w:rPr>
        <w:t xml:space="preserve">for </w:t>
      </w:r>
      <w:proofErr w:type="spellStart"/>
      <w:r w:rsidR="003925D9">
        <w:rPr>
          <w:rFonts w:ascii="Times New Roman" w:hAnsi="Times New Roman" w:cs="Times New Roman"/>
          <w:sz w:val="24"/>
          <w:szCs w:val="18"/>
        </w:rPr>
        <w:t>normodivergent</w:t>
      </w:r>
      <w:proofErr w:type="spellEnd"/>
      <w:r w:rsidR="003925D9">
        <w:rPr>
          <w:rFonts w:ascii="Times New Roman" w:hAnsi="Times New Roman" w:cs="Times New Roman"/>
          <w:sz w:val="24"/>
          <w:szCs w:val="18"/>
        </w:rPr>
        <w:t>, 10.37±1.28 mm and 9.85±</w:t>
      </w:r>
      <w:r w:rsidR="00255841">
        <w:rPr>
          <w:rFonts w:ascii="Times New Roman" w:hAnsi="Times New Roman" w:cs="Times New Roman"/>
          <w:sz w:val="24"/>
          <w:szCs w:val="18"/>
        </w:rPr>
        <w:t xml:space="preserve">1.01 mm for </w:t>
      </w:r>
      <w:proofErr w:type="spellStart"/>
      <w:r w:rsidR="00255841">
        <w:rPr>
          <w:rFonts w:ascii="Times New Roman" w:hAnsi="Times New Roman" w:cs="Times New Roman"/>
          <w:sz w:val="24"/>
          <w:szCs w:val="18"/>
        </w:rPr>
        <w:t>h</w:t>
      </w:r>
      <w:r w:rsidR="00C55FE1">
        <w:rPr>
          <w:rFonts w:ascii="Times New Roman" w:hAnsi="Times New Roman" w:cs="Times New Roman"/>
          <w:sz w:val="24"/>
          <w:szCs w:val="18"/>
        </w:rPr>
        <w:t>ypodivergent</w:t>
      </w:r>
      <w:proofErr w:type="spellEnd"/>
      <w:r w:rsidR="003925D9">
        <w:rPr>
          <w:rFonts w:ascii="Times New Roman" w:hAnsi="Times New Roman" w:cs="Times New Roman"/>
          <w:sz w:val="24"/>
          <w:szCs w:val="18"/>
        </w:rPr>
        <w:t xml:space="preserve"> &amp; 10.68±1.16 </w:t>
      </w:r>
      <w:r w:rsidR="00255841">
        <w:rPr>
          <w:rFonts w:ascii="Times New Roman" w:hAnsi="Times New Roman" w:cs="Times New Roman"/>
          <w:sz w:val="24"/>
          <w:szCs w:val="18"/>
        </w:rPr>
        <w:t xml:space="preserve">mm </w:t>
      </w:r>
      <w:r w:rsidR="003925D9">
        <w:rPr>
          <w:rFonts w:ascii="Times New Roman" w:hAnsi="Times New Roman" w:cs="Times New Roman"/>
          <w:sz w:val="24"/>
          <w:szCs w:val="18"/>
        </w:rPr>
        <w:t xml:space="preserve">and 10.27±0.90 </w:t>
      </w:r>
      <w:r w:rsidR="00255841">
        <w:rPr>
          <w:rFonts w:ascii="Times New Roman" w:hAnsi="Times New Roman" w:cs="Times New Roman"/>
          <w:sz w:val="24"/>
          <w:szCs w:val="18"/>
        </w:rPr>
        <w:t xml:space="preserve">mm </w:t>
      </w:r>
      <w:r w:rsidR="003925D9">
        <w:rPr>
          <w:rFonts w:ascii="Times New Roman" w:hAnsi="Times New Roman" w:cs="Times New Roman"/>
          <w:sz w:val="24"/>
          <w:szCs w:val="18"/>
        </w:rPr>
        <w:t xml:space="preserve">for </w:t>
      </w:r>
      <w:proofErr w:type="spellStart"/>
      <w:r w:rsidR="00C55FE1">
        <w:rPr>
          <w:rFonts w:ascii="Times New Roman" w:hAnsi="Times New Roman" w:cs="Times New Roman"/>
          <w:sz w:val="24"/>
          <w:szCs w:val="18"/>
        </w:rPr>
        <w:t>hyperdivergent</w:t>
      </w:r>
      <w:proofErr w:type="spellEnd"/>
      <w:r w:rsidR="003925D9">
        <w:rPr>
          <w:rFonts w:ascii="Times New Roman" w:hAnsi="Times New Roman" w:cs="Times New Roman"/>
          <w:sz w:val="24"/>
          <w:szCs w:val="18"/>
        </w:rPr>
        <w:t xml:space="preserve"> </w:t>
      </w:r>
      <w:r w:rsidRPr="00BA2FF7">
        <w:rPr>
          <w:rFonts w:ascii="Times New Roman" w:hAnsi="Times New Roman" w:cs="Times New Roman"/>
          <w:sz w:val="24"/>
          <w:szCs w:val="18"/>
        </w:rPr>
        <w:t xml:space="preserve">of clinical crown height of </w:t>
      </w:r>
      <w:r w:rsidR="00BA2FF7" w:rsidRPr="00BA2FF7">
        <w:rPr>
          <w:rFonts w:ascii="Times New Roman" w:hAnsi="Times New Roman" w:cs="Times New Roman"/>
          <w:sz w:val="24"/>
          <w:szCs w:val="18"/>
        </w:rPr>
        <w:t xml:space="preserve">maxillary right central incisor </w:t>
      </w:r>
      <w:r w:rsidRPr="00BA2FF7">
        <w:rPr>
          <w:rFonts w:ascii="Times New Roman" w:hAnsi="Times New Roman" w:cs="Times New Roman"/>
          <w:sz w:val="24"/>
          <w:szCs w:val="18"/>
        </w:rPr>
        <w:t>was</w:t>
      </w:r>
      <w:r w:rsidR="005323C7">
        <w:rPr>
          <w:rFonts w:ascii="Times New Roman" w:hAnsi="Times New Roman" w:cs="Times New Roman"/>
          <w:sz w:val="24"/>
          <w:szCs w:val="18"/>
        </w:rPr>
        <w:t xml:space="preserve"> observed for males and females</w:t>
      </w:r>
      <w:r w:rsidR="004D19FC">
        <w:rPr>
          <w:rFonts w:ascii="Times New Roman" w:hAnsi="Times New Roman" w:cs="Times New Roman"/>
          <w:sz w:val="24"/>
          <w:szCs w:val="18"/>
        </w:rPr>
        <w:t xml:space="preserve"> </w:t>
      </w:r>
      <w:r w:rsidR="005323C7">
        <w:rPr>
          <w:rFonts w:ascii="Times New Roman" w:hAnsi="Times New Roman" w:cs="Times New Roman"/>
          <w:b/>
          <w:bCs/>
          <w:sz w:val="24"/>
          <w:szCs w:val="18"/>
        </w:rPr>
        <w:t>(Graph 1).</w:t>
      </w:r>
    </w:p>
    <w:p w:rsidR="00255841" w:rsidRPr="00255841" w:rsidRDefault="00BA2FF7" w:rsidP="00985AE3">
      <w:pPr>
        <w:autoSpaceDE w:val="0"/>
        <w:autoSpaceDN w:val="0"/>
        <w:adjustRightInd w:val="0"/>
        <w:spacing w:after="0" w:line="240" w:lineRule="auto"/>
        <w:jc w:val="both"/>
        <w:rPr>
          <w:rFonts w:ascii="Times New Roman" w:hAnsi="Times New Roman" w:cs="Times New Roman"/>
          <w:b/>
          <w:bCs/>
          <w:sz w:val="24"/>
          <w:szCs w:val="18"/>
        </w:rPr>
      </w:pPr>
      <w:r w:rsidRPr="00BA2FF7">
        <w:rPr>
          <w:rFonts w:ascii="Times New Roman" w:hAnsi="Times New Roman" w:cs="Times New Roman"/>
          <w:sz w:val="24"/>
          <w:szCs w:val="18"/>
        </w:rPr>
        <w:t xml:space="preserve">A mean value </w:t>
      </w:r>
      <w:r w:rsidR="00222910" w:rsidRPr="00BA2FF7">
        <w:rPr>
          <w:rFonts w:ascii="Times New Roman" w:hAnsi="Times New Roman" w:cs="Times New Roman"/>
          <w:sz w:val="24"/>
          <w:szCs w:val="18"/>
        </w:rPr>
        <w:t xml:space="preserve">of </w:t>
      </w:r>
      <w:r w:rsidR="00255841">
        <w:rPr>
          <w:rFonts w:ascii="Times New Roman" w:hAnsi="Times New Roman" w:cs="Times New Roman"/>
          <w:sz w:val="24"/>
          <w:szCs w:val="18"/>
        </w:rPr>
        <w:t>6.53±0.54 mm and 6.02±0.77</w:t>
      </w:r>
      <w:r w:rsidR="003925D9" w:rsidRPr="00BA2FF7">
        <w:rPr>
          <w:rFonts w:ascii="Times New Roman" w:hAnsi="Times New Roman" w:cs="Times New Roman"/>
          <w:sz w:val="24"/>
          <w:szCs w:val="18"/>
        </w:rPr>
        <w:t xml:space="preserve"> </w:t>
      </w:r>
      <w:proofErr w:type="gramStart"/>
      <w:r w:rsidR="003925D9" w:rsidRPr="00BA2FF7">
        <w:rPr>
          <w:rFonts w:ascii="Times New Roman" w:hAnsi="Times New Roman" w:cs="Times New Roman"/>
          <w:sz w:val="24"/>
          <w:szCs w:val="18"/>
        </w:rPr>
        <w:t xml:space="preserve">mm </w:t>
      </w:r>
      <w:r w:rsidR="00255841">
        <w:rPr>
          <w:rFonts w:ascii="Times New Roman" w:hAnsi="Times New Roman" w:cs="Times New Roman"/>
          <w:sz w:val="24"/>
          <w:szCs w:val="18"/>
        </w:rPr>
        <w:t xml:space="preserve"> for</w:t>
      </w:r>
      <w:proofErr w:type="gramEnd"/>
      <w:r w:rsidR="00255841">
        <w:rPr>
          <w:rFonts w:ascii="Times New Roman" w:hAnsi="Times New Roman" w:cs="Times New Roman"/>
          <w:sz w:val="24"/>
          <w:szCs w:val="18"/>
        </w:rPr>
        <w:t xml:space="preserve"> </w:t>
      </w:r>
      <w:proofErr w:type="spellStart"/>
      <w:r w:rsidR="00255841">
        <w:rPr>
          <w:rFonts w:ascii="Times New Roman" w:hAnsi="Times New Roman" w:cs="Times New Roman"/>
          <w:sz w:val="24"/>
          <w:szCs w:val="18"/>
        </w:rPr>
        <w:t>normodivergent</w:t>
      </w:r>
      <w:proofErr w:type="spellEnd"/>
      <w:r w:rsidR="00255841">
        <w:rPr>
          <w:rFonts w:ascii="Times New Roman" w:hAnsi="Times New Roman" w:cs="Times New Roman"/>
          <w:sz w:val="24"/>
          <w:szCs w:val="18"/>
        </w:rPr>
        <w:t>, 6.4</w:t>
      </w:r>
      <w:r w:rsidR="003925D9">
        <w:rPr>
          <w:rFonts w:ascii="Times New Roman" w:hAnsi="Times New Roman" w:cs="Times New Roman"/>
          <w:sz w:val="24"/>
          <w:szCs w:val="18"/>
        </w:rPr>
        <w:t>7±</w:t>
      </w:r>
      <w:r w:rsidR="00255841">
        <w:rPr>
          <w:rFonts w:ascii="Times New Roman" w:hAnsi="Times New Roman" w:cs="Times New Roman"/>
          <w:sz w:val="24"/>
          <w:szCs w:val="18"/>
        </w:rPr>
        <w:t>0.90 mm and 6.12</w:t>
      </w:r>
      <w:r w:rsidR="003925D9">
        <w:rPr>
          <w:rFonts w:ascii="Times New Roman" w:hAnsi="Times New Roman" w:cs="Times New Roman"/>
          <w:sz w:val="24"/>
          <w:szCs w:val="18"/>
        </w:rPr>
        <w:t>±</w:t>
      </w:r>
      <w:r w:rsidR="00255841">
        <w:rPr>
          <w:rFonts w:ascii="Times New Roman" w:hAnsi="Times New Roman" w:cs="Times New Roman"/>
          <w:sz w:val="24"/>
          <w:szCs w:val="18"/>
        </w:rPr>
        <w:t xml:space="preserve">0.67 mm for </w:t>
      </w:r>
      <w:proofErr w:type="spellStart"/>
      <w:r w:rsidR="00255841">
        <w:rPr>
          <w:rFonts w:ascii="Times New Roman" w:hAnsi="Times New Roman" w:cs="Times New Roman"/>
          <w:sz w:val="24"/>
          <w:szCs w:val="18"/>
        </w:rPr>
        <w:t>h</w:t>
      </w:r>
      <w:r w:rsidR="00C55FE1">
        <w:rPr>
          <w:rFonts w:ascii="Times New Roman" w:hAnsi="Times New Roman" w:cs="Times New Roman"/>
          <w:sz w:val="24"/>
          <w:szCs w:val="18"/>
        </w:rPr>
        <w:t>ypodivergent</w:t>
      </w:r>
      <w:proofErr w:type="spellEnd"/>
      <w:r w:rsidR="003925D9">
        <w:rPr>
          <w:rFonts w:ascii="Times New Roman" w:hAnsi="Times New Roman" w:cs="Times New Roman"/>
          <w:sz w:val="24"/>
          <w:szCs w:val="18"/>
        </w:rPr>
        <w:t xml:space="preserve"> &amp;</w:t>
      </w:r>
      <w:r w:rsidR="00255841">
        <w:rPr>
          <w:rFonts w:ascii="Times New Roman" w:hAnsi="Times New Roman" w:cs="Times New Roman"/>
          <w:sz w:val="24"/>
          <w:szCs w:val="18"/>
        </w:rPr>
        <w:t xml:space="preserve"> 6.63</w:t>
      </w:r>
      <w:r w:rsidR="003925D9">
        <w:rPr>
          <w:rFonts w:ascii="Times New Roman" w:hAnsi="Times New Roman" w:cs="Times New Roman"/>
          <w:sz w:val="24"/>
          <w:szCs w:val="18"/>
        </w:rPr>
        <w:t>±</w:t>
      </w:r>
      <w:r w:rsidR="00255841">
        <w:rPr>
          <w:rFonts w:ascii="Times New Roman" w:hAnsi="Times New Roman" w:cs="Times New Roman"/>
          <w:sz w:val="24"/>
          <w:szCs w:val="18"/>
        </w:rPr>
        <w:t>0.82</w:t>
      </w:r>
      <w:r w:rsidR="003925D9">
        <w:rPr>
          <w:rFonts w:ascii="Times New Roman" w:hAnsi="Times New Roman" w:cs="Times New Roman"/>
          <w:sz w:val="24"/>
          <w:szCs w:val="18"/>
        </w:rPr>
        <w:t xml:space="preserve"> </w:t>
      </w:r>
      <w:r w:rsidR="00255841">
        <w:rPr>
          <w:rFonts w:ascii="Times New Roman" w:hAnsi="Times New Roman" w:cs="Times New Roman"/>
          <w:sz w:val="24"/>
          <w:szCs w:val="18"/>
        </w:rPr>
        <w:t xml:space="preserve">mm </w:t>
      </w:r>
      <w:r w:rsidR="003925D9">
        <w:rPr>
          <w:rFonts w:ascii="Times New Roman" w:hAnsi="Times New Roman" w:cs="Times New Roman"/>
          <w:sz w:val="24"/>
          <w:szCs w:val="18"/>
        </w:rPr>
        <w:t xml:space="preserve">and </w:t>
      </w:r>
      <w:r w:rsidR="00255841">
        <w:rPr>
          <w:rFonts w:ascii="Times New Roman" w:hAnsi="Times New Roman" w:cs="Times New Roman"/>
          <w:sz w:val="24"/>
          <w:szCs w:val="18"/>
        </w:rPr>
        <w:t>6.4</w:t>
      </w:r>
      <w:r w:rsidR="003925D9">
        <w:rPr>
          <w:rFonts w:ascii="Times New Roman" w:hAnsi="Times New Roman" w:cs="Times New Roman"/>
          <w:sz w:val="24"/>
          <w:szCs w:val="18"/>
        </w:rPr>
        <w:t>7±</w:t>
      </w:r>
      <w:r w:rsidR="00255841">
        <w:rPr>
          <w:rFonts w:ascii="Times New Roman" w:hAnsi="Times New Roman" w:cs="Times New Roman"/>
          <w:sz w:val="24"/>
          <w:szCs w:val="18"/>
        </w:rPr>
        <w:t>0.88</w:t>
      </w:r>
      <w:r w:rsidR="003925D9">
        <w:rPr>
          <w:rFonts w:ascii="Times New Roman" w:hAnsi="Times New Roman" w:cs="Times New Roman"/>
          <w:sz w:val="24"/>
          <w:szCs w:val="18"/>
        </w:rPr>
        <w:t xml:space="preserve"> </w:t>
      </w:r>
      <w:r w:rsidR="00255841">
        <w:rPr>
          <w:rFonts w:ascii="Times New Roman" w:hAnsi="Times New Roman" w:cs="Times New Roman"/>
          <w:sz w:val="24"/>
          <w:szCs w:val="18"/>
        </w:rPr>
        <w:t xml:space="preserve">mm </w:t>
      </w:r>
      <w:r w:rsidR="00C55FE1">
        <w:rPr>
          <w:rFonts w:ascii="Times New Roman" w:hAnsi="Times New Roman" w:cs="Times New Roman"/>
          <w:sz w:val="24"/>
          <w:szCs w:val="18"/>
        </w:rPr>
        <w:t xml:space="preserve">for </w:t>
      </w:r>
      <w:proofErr w:type="spellStart"/>
      <w:r w:rsidR="00C55FE1">
        <w:rPr>
          <w:rFonts w:ascii="Times New Roman" w:hAnsi="Times New Roman" w:cs="Times New Roman"/>
          <w:sz w:val="24"/>
          <w:szCs w:val="18"/>
        </w:rPr>
        <w:t>hyperdivergent</w:t>
      </w:r>
      <w:proofErr w:type="spellEnd"/>
      <w:r w:rsidR="003925D9">
        <w:rPr>
          <w:rFonts w:ascii="Times New Roman" w:hAnsi="Times New Roman" w:cs="Times New Roman"/>
          <w:sz w:val="24"/>
          <w:szCs w:val="18"/>
        </w:rPr>
        <w:t xml:space="preserve"> </w:t>
      </w:r>
      <w:r w:rsidRPr="00BA2FF7">
        <w:rPr>
          <w:rFonts w:ascii="Times New Roman" w:hAnsi="Times New Roman" w:cs="Times New Roman"/>
          <w:sz w:val="24"/>
          <w:szCs w:val="18"/>
        </w:rPr>
        <w:t xml:space="preserve">of clinical crown height </w:t>
      </w:r>
      <w:r w:rsidR="00222910" w:rsidRPr="00BA2FF7">
        <w:rPr>
          <w:rFonts w:ascii="Times New Roman" w:hAnsi="Times New Roman" w:cs="Times New Roman"/>
          <w:sz w:val="24"/>
          <w:szCs w:val="18"/>
        </w:rPr>
        <w:t>of maxillary right permanent m</w:t>
      </w:r>
      <w:r w:rsidRPr="00BA2FF7">
        <w:rPr>
          <w:rFonts w:ascii="Times New Roman" w:hAnsi="Times New Roman" w:cs="Times New Roman"/>
          <w:sz w:val="24"/>
          <w:szCs w:val="18"/>
        </w:rPr>
        <w:t xml:space="preserve">olar was observed for males and </w:t>
      </w:r>
      <w:r w:rsidR="005323C7">
        <w:rPr>
          <w:rFonts w:ascii="Times New Roman" w:hAnsi="Times New Roman" w:cs="Times New Roman"/>
          <w:sz w:val="24"/>
          <w:szCs w:val="18"/>
        </w:rPr>
        <w:t>females</w:t>
      </w:r>
      <w:r w:rsidR="004D19FC">
        <w:rPr>
          <w:rFonts w:ascii="Times New Roman" w:hAnsi="Times New Roman" w:cs="Times New Roman"/>
          <w:sz w:val="24"/>
          <w:szCs w:val="18"/>
        </w:rPr>
        <w:t xml:space="preserve"> </w:t>
      </w:r>
      <w:r w:rsidR="00222910" w:rsidRPr="00BA2FF7">
        <w:rPr>
          <w:rFonts w:ascii="Times New Roman" w:hAnsi="Times New Roman" w:cs="Times New Roman"/>
          <w:b/>
          <w:bCs/>
          <w:sz w:val="24"/>
          <w:szCs w:val="18"/>
        </w:rPr>
        <w:t>(Graph 2).</w:t>
      </w:r>
    </w:p>
    <w:p w:rsidR="00255841" w:rsidRDefault="00222910" w:rsidP="00985AE3">
      <w:pPr>
        <w:autoSpaceDE w:val="0"/>
        <w:autoSpaceDN w:val="0"/>
        <w:adjustRightInd w:val="0"/>
        <w:spacing w:after="0" w:line="240" w:lineRule="auto"/>
        <w:jc w:val="both"/>
        <w:rPr>
          <w:rFonts w:ascii="Times New Roman" w:hAnsi="Times New Roman" w:cs="Times New Roman"/>
          <w:b/>
          <w:bCs/>
          <w:sz w:val="24"/>
          <w:szCs w:val="18"/>
        </w:rPr>
      </w:pPr>
      <w:r w:rsidRPr="00BA2FF7">
        <w:rPr>
          <w:rFonts w:ascii="Times New Roman" w:hAnsi="Times New Roman" w:cs="Times New Roman"/>
          <w:sz w:val="24"/>
          <w:szCs w:val="18"/>
        </w:rPr>
        <w:t>Clinical crown height of righ</w:t>
      </w:r>
      <w:r w:rsidR="00BA2FF7" w:rsidRPr="00BA2FF7">
        <w:rPr>
          <w:rFonts w:ascii="Times New Roman" w:hAnsi="Times New Roman" w:cs="Times New Roman"/>
          <w:sz w:val="24"/>
          <w:szCs w:val="18"/>
        </w:rPr>
        <w:t xml:space="preserve">t lower incisor revealed a mean </w:t>
      </w:r>
      <w:r w:rsidR="00255841">
        <w:rPr>
          <w:rFonts w:ascii="Times New Roman" w:hAnsi="Times New Roman" w:cs="Times New Roman"/>
          <w:sz w:val="24"/>
          <w:szCs w:val="18"/>
        </w:rPr>
        <w:t>value of 8.14±1.18 mm and 8.45±1.09</w:t>
      </w:r>
      <w:r w:rsidR="00255841" w:rsidRPr="00BA2FF7">
        <w:rPr>
          <w:rFonts w:ascii="Times New Roman" w:hAnsi="Times New Roman" w:cs="Times New Roman"/>
          <w:sz w:val="24"/>
          <w:szCs w:val="18"/>
        </w:rPr>
        <w:t xml:space="preserve"> mm </w:t>
      </w:r>
      <w:r w:rsidR="00255841">
        <w:rPr>
          <w:rFonts w:ascii="Times New Roman" w:hAnsi="Times New Roman" w:cs="Times New Roman"/>
          <w:sz w:val="24"/>
          <w:szCs w:val="18"/>
        </w:rPr>
        <w:t xml:space="preserve"> for </w:t>
      </w:r>
      <w:proofErr w:type="spellStart"/>
      <w:r w:rsidR="00255841">
        <w:rPr>
          <w:rFonts w:ascii="Times New Roman" w:hAnsi="Times New Roman" w:cs="Times New Roman"/>
          <w:sz w:val="24"/>
          <w:szCs w:val="18"/>
        </w:rPr>
        <w:t>normodivergent</w:t>
      </w:r>
      <w:proofErr w:type="spellEnd"/>
      <w:r w:rsidR="00255841">
        <w:rPr>
          <w:rFonts w:ascii="Times New Roman" w:hAnsi="Times New Roman" w:cs="Times New Roman"/>
          <w:sz w:val="24"/>
          <w:szCs w:val="18"/>
        </w:rPr>
        <w:t>, 8.40±0.98 mm</w:t>
      </w:r>
      <w:r w:rsidR="00C55FE1">
        <w:rPr>
          <w:rFonts w:ascii="Times New Roman" w:hAnsi="Times New Roman" w:cs="Times New Roman"/>
          <w:sz w:val="24"/>
          <w:szCs w:val="18"/>
        </w:rPr>
        <w:t xml:space="preserve"> and 8.11±1.22 mm for </w:t>
      </w:r>
      <w:proofErr w:type="spellStart"/>
      <w:r w:rsidR="00C55FE1">
        <w:rPr>
          <w:rFonts w:ascii="Times New Roman" w:hAnsi="Times New Roman" w:cs="Times New Roman"/>
          <w:sz w:val="24"/>
          <w:szCs w:val="18"/>
        </w:rPr>
        <w:t>hypodivergent</w:t>
      </w:r>
      <w:proofErr w:type="spellEnd"/>
      <w:r w:rsidR="00255841">
        <w:rPr>
          <w:rFonts w:ascii="Times New Roman" w:hAnsi="Times New Roman" w:cs="Times New Roman"/>
          <w:sz w:val="24"/>
          <w:szCs w:val="18"/>
        </w:rPr>
        <w:t xml:space="preserve"> &amp; 8.63±</w:t>
      </w:r>
      <w:r w:rsidR="00C55FE1">
        <w:rPr>
          <w:rFonts w:ascii="Times New Roman" w:hAnsi="Times New Roman" w:cs="Times New Roman"/>
          <w:sz w:val="24"/>
          <w:szCs w:val="18"/>
        </w:rPr>
        <w:t xml:space="preserve">1.29 mm and 8.80±1.13 mm for </w:t>
      </w:r>
      <w:proofErr w:type="spellStart"/>
      <w:r w:rsidR="00C55FE1">
        <w:rPr>
          <w:rFonts w:ascii="Times New Roman" w:hAnsi="Times New Roman" w:cs="Times New Roman"/>
          <w:sz w:val="24"/>
          <w:szCs w:val="18"/>
        </w:rPr>
        <w:t>hyperdivergent</w:t>
      </w:r>
      <w:proofErr w:type="spellEnd"/>
      <w:r w:rsidR="00255841">
        <w:rPr>
          <w:rFonts w:ascii="Times New Roman" w:hAnsi="Times New Roman" w:cs="Times New Roman"/>
          <w:sz w:val="24"/>
          <w:szCs w:val="18"/>
        </w:rPr>
        <w:t xml:space="preserve"> </w:t>
      </w:r>
      <w:r w:rsidR="00BA2FF7" w:rsidRPr="00BA2FF7">
        <w:rPr>
          <w:rFonts w:ascii="Times New Roman" w:hAnsi="Times New Roman" w:cs="Times New Roman"/>
          <w:sz w:val="24"/>
          <w:szCs w:val="18"/>
        </w:rPr>
        <w:t xml:space="preserve">for males and </w:t>
      </w:r>
      <w:r w:rsidR="005323C7">
        <w:rPr>
          <w:rFonts w:ascii="Times New Roman" w:hAnsi="Times New Roman" w:cs="Times New Roman"/>
          <w:sz w:val="24"/>
          <w:szCs w:val="18"/>
        </w:rPr>
        <w:t>females</w:t>
      </w:r>
      <w:r w:rsidR="004D19FC">
        <w:rPr>
          <w:rFonts w:ascii="Times New Roman" w:hAnsi="Times New Roman" w:cs="Times New Roman"/>
          <w:sz w:val="24"/>
          <w:szCs w:val="18"/>
        </w:rPr>
        <w:t xml:space="preserve"> </w:t>
      </w:r>
      <w:r w:rsidR="005323C7">
        <w:rPr>
          <w:rFonts w:ascii="Times New Roman" w:hAnsi="Times New Roman" w:cs="Times New Roman"/>
          <w:b/>
          <w:bCs/>
          <w:sz w:val="24"/>
          <w:szCs w:val="18"/>
        </w:rPr>
        <w:t>(Graph 3).</w:t>
      </w:r>
    </w:p>
    <w:p w:rsidR="00421C4E" w:rsidRDefault="00222910" w:rsidP="00985AE3">
      <w:pPr>
        <w:autoSpaceDE w:val="0"/>
        <w:autoSpaceDN w:val="0"/>
        <w:adjustRightInd w:val="0"/>
        <w:spacing w:after="0" w:line="240" w:lineRule="auto"/>
        <w:jc w:val="both"/>
        <w:rPr>
          <w:rFonts w:ascii="Times New Roman" w:hAnsi="Times New Roman" w:cs="Times New Roman"/>
          <w:sz w:val="24"/>
          <w:szCs w:val="18"/>
        </w:rPr>
      </w:pPr>
      <w:r w:rsidRPr="00BA2FF7">
        <w:rPr>
          <w:rFonts w:ascii="Times New Roman" w:hAnsi="Times New Roman" w:cs="Times New Roman"/>
          <w:sz w:val="24"/>
          <w:szCs w:val="18"/>
        </w:rPr>
        <w:t>A</w:t>
      </w:r>
      <w:r w:rsidR="00BA2FF7" w:rsidRPr="00BA2FF7">
        <w:rPr>
          <w:rFonts w:ascii="Times New Roman" w:hAnsi="Times New Roman" w:cs="Times New Roman"/>
          <w:sz w:val="24"/>
          <w:szCs w:val="18"/>
        </w:rPr>
        <w:t xml:space="preserve"> mean value of </w:t>
      </w:r>
      <w:r w:rsidR="00255841">
        <w:rPr>
          <w:rFonts w:ascii="Times New Roman" w:hAnsi="Times New Roman" w:cs="Times New Roman"/>
          <w:sz w:val="24"/>
          <w:szCs w:val="18"/>
        </w:rPr>
        <w:t>6.35±0.77 mm and 6.37±0.57</w:t>
      </w:r>
      <w:r w:rsidR="00255841" w:rsidRPr="00BA2FF7">
        <w:rPr>
          <w:rFonts w:ascii="Times New Roman" w:hAnsi="Times New Roman" w:cs="Times New Roman"/>
          <w:sz w:val="24"/>
          <w:szCs w:val="18"/>
        </w:rPr>
        <w:t xml:space="preserve"> </w:t>
      </w:r>
      <w:proofErr w:type="gramStart"/>
      <w:r w:rsidR="00255841" w:rsidRPr="00BA2FF7">
        <w:rPr>
          <w:rFonts w:ascii="Times New Roman" w:hAnsi="Times New Roman" w:cs="Times New Roman"/>
          <w:sz w:val="24"/>
          <w:szCs w:val="18"/>
        </w:rPr>
        <w:t xml:space="preserve">mm </w:t>
      </w:r>
      <w:r w:rsidR="00421C4E">
        <w:rPr>
          <w:rFonts w:ascii="Times New Roman" w:hAnsi="Times New Roman" w:cs="Times New Roman"/>
          <w:sz w:val="24"/>
          <w:szCs w:val="18"/>
        </w:rPr>
        <w:t xml:space="preserve"> for</w:t>
      </w:r>
      <w:proofErr w:type="gramEnd"/>
      <w:r w:rsidR="00421C4E">
        <w:rPr>
          <w:rFonts w:ascii="Times New Roman" w:hAnsi="Times New Roman" w:cs="Times New Roman"/>
          <w:sz w:val="24"/>
          <w:szCs w:val="18"/>
        </w:rPr>
        <w:t xml:space="preserve"> </w:t>
      </w:r>
      <w:proofErr w:type="spellStart"/>
      <w:r w:rsidR="00421C4E">
        <w:rPr>
          <w:rFonts w:ascii="Times New Roman" w:hAnsi="Times New Roman" w:cs="Times New Roman"/>
          <w:sz w:val="24"/>
          <w:szCs w:val="18"/>
        </w:rPr>
        <w:t>normodivergent</w:t>
      </w:r>
      <w:proofErr w:type="spellEnd"/>
      <w:r w:rsidR="00421C4E">
        <w:rPr>
          <w:rFonts w:ascii="Times New Roman" w:hAnsi="Times New Roman" w:cs="Times New Roman"/>
          <w:sz w:val="24"/>
          <w:szCs w:val="18"/>
        </w:rPr>
        <w:t>, 6.53</w:t>
      </w:r>
      <w:r w:rsidR="00255841">
        <w:rPr>
          <w:rFonts w:ascii="Times New Roman" w:hAnsi="Times New Roman" w:cs="Times New Roman"/>
          <w:sz w:val="24"/>
          <w:szCs w:val="18"/>
        </w:rPr>
        <w:t>±</w:t>
      </w:r>
      <w:r w:rsidR="00421C4E">
        <w:rPr>
          <w:rFonts w:ascii="Times New Roman" w:hAnsi="Times New Roman" w:cs="Times New Roman"/>
          <w:sz w:val="24"/>
          <w:szCs w:val="18"/>
        </w:rPr>
        <w:t>0.61 mm and 6.45</w:t>
      </w:r>
      <w:r w:rsidR="00255841">
        <w:rPr>
          <w:rFonts w:ascii="Times New Roman" w:hAnsi="Times New Roman" w:cs="Times New Roman"/>
          <w:sz w:val="24"/>
          <w:szCs w:val="18"/>
        </w:rPr>
        <w:t>±</w:t>
      </w:r>
      <w:r w:rsidR="00421C4E">
        <w:rPr>
          <w:rFonts w:ascii="Times New Roman" w:hAnsi="Times New Roman" w:cs="Times New Roman"/>
          <w:sz w:val="24"/>
          <w:szCs w:val="18"/>
        </w:rPr>
        <w:t>0.76</w:t>
      </w:r>
      <w:r w:rsidR="00255841">
        <w:rPr>
          <w:rFonts w:ascii="Times New Roman" w:hAnsi="Times New Roman" w:cs="Times New Roman"/>
          <w:sz w:val="24"/>
          <w:szCs w:val="18"/>
        </w:rPr>
        <w:t xml:space="preserve"> mm for </w:t>
      </w:r>
      <w:proofErr w:type="spellStart"/>
      <w:r w:rsidR="00C55FE1">
        <w:rPr>
          <w:rFonts w:ascii="Times New Roman" w:hAnsi="Times New Roman" w:cs="Times New Roman"/>
          <w:sz w:val="24"/>
          <w:szCs w:val="18"/>
        </w:rPr>
        <w:t>hypodivergent</w:t>
      </w:r>
      <w:proofErr w:type="spellEnd"/>
      <w:r w:rsidR="00255841">
        <w:rPr>
          <w:rFonts w:ascii="Times New Roman" w:hAnsi="Times New Roman" w:cs="Times New Roman"/>
          <w:sz w:val="24"/>
          <w:szCs w:val="18"/>
        </w:rPr>
        <w:t xml:space="preserve"> &amp;</w:t>
      </w:r>
      <w:r w:rsidR="00421C4E">
        <w:rPr>
          <w:rFonts w:ascii="Times New Roman" w:hAnsi="Times New Roman" w:cs="Times New Roman"/>
          <w:sz w:val="24"/>
          <w:szCs w:val="18"/>
        </w:rPr>
        <w:t xml:space="preserve"> 6</w:t>
      </w:r>
      <w:r w:rsidR="00255841">
        <w:rPr>
          <w:rFonts w:ascii="Times New Roman" w:hAnsi="Times New Roman" w:cs="Times New Roman"/>
          <w:sz w:val="24"/>
          <w:szCs w:val="18"/>
        </w:rPr>
        <w:t>.68±</w:t>
      </w:r>
      <w:r w:rsidR="00421C4E">
        <w:rPr>
          <w:rFonts w:ascii="Times New Roman" w:hAnsi="Times New Roman" w:cs="Times New Roman"/>
          <w:sz w:val="24"/>
          <w:szCs w:val="18"/>
        </w:rPr>
        <w:t>0.90</w:t>
      </w:r>
      <w:r w:rsidR="00255841">
        <w:rPr>
          <w:rFonts w:ascii="Times New Roman" w:hAnsi="Times New Roman" w:cs="Times New Roman"/>
          <w:sz w:val="24"/>
          <w:szCs w:val="18"/>
        </w:rPr>
        <w:t xml:space="preserve"> mm and </w:t>
      </w:r>
      <w:r w:rsidR="00421C4E">
        <w:rPr>
          <w:rFonts w:ascii="Times New Roman" w:hAnsi="Times New Roman" w:cs="Times New Roman"/>
          <w:sz w:val="24"/>
          <w:szCs w:val="18"/>
        </w:rPr>
        <w:t>6.58</w:t>
      </w:r>
      <w:r w:rsidR="00255841">
        <w:rPr>
          <w:rFonts w:ascii="Times New Roman" w:hAnsi="Times New Roman" w:cs="Times New Roman"/>
          <w:sz w:val="24"/>
          <w:szCs w:val="18"/>
        </w:rPr>
        <w:t>±</w:t>
      </w:r>
      <w:r w:rsidR="00421C4E">
        <w:rPr>
          <w:rFonts w:ascii="Times New Roman" w:hAnsi="Times New Roman" w:cs="Times New Roman"/>
          <w:sz w:val="24"/>
          <w:szCs w:val="18"/>
        </w:rPr>
        <w:t>0.62</w:t>
      </w:r>
      <w:r w:rsidR="00C55FE1">
        <w:rPr>
          <w:rFonts w:ascii="Times New Roman" w:hAnsi="Times New Roman" w:cs="Times New Roman"/>
          <w:sz w:val="24"/>
          <w:szCs w:val="18"/>
        </w:rPr>
        <w:t xml:space="preserve"> mm for </w:t>
      </w:r>
      <w:proofErr w:type="spellStart"/>
      <w:r w:rsidR="00C55FE1">
        <w:rPr>
          <w:rFonts w:ascii="Times New Roman" w:hAnsi="Times New Roman" w:cs="Times New Roman"/>
          <w:sz w:val="24"/>
          <w:szCs w:val="18"/>
        </w:rPr>
        <w:t>hyperdivergent</w:t>
      </w:r>
      <w:proofErr w:type="spellEnd"/>
      <w:r w:rsidRPr="00BA2FF7">
        <w:rPr>
          <w:rFonts w:ascii="Times New Roman" w:hAnsi="Times New Roman" w:cs="Times New Roman"/>
          <w:sz w:val="24"/>
          <w:szCs w:val="18"/>
        </w:rPr>
        <w:t xml:space="preserve"> of clinical crown </w:t>
      </w:r>
      <w:r w:rsidR="00BA2FF7" w:rsidRPr="00BA2FF7">
        <w:rPr>
          <w:rFonts w:ascii="Times New Roman" w:hAnsi="Times New Roman" w:cs="Times New Roman"/>
          <w:sz w:val="24"/>
          <w:szCs w:val="18"/>
        </w:rPr>
        <w:t xml:space="preserve">height of right lower permanent </w:t>
      </w:r>
      <w:r w:rsidRPr="00BA2FF7">
        <w:rPr>
          <w:rFonts w:ascii="Times New Roman" w:hAnsi="Times New Roman" w:cs="Times New Roman"/>
          <w:sz w:val="24"/>
          <w:szCs w:val="18"/>
        </w:rPr>
        <w:t>molar was</w:t>
      </w:r>
      <w:r w:rsidR="005323C7">
        <w:rPr>
          <w:rFonts w:ascii="Times New Roman" w:hAnsi="Times New Roman" w:cs="Times New Roman"/>
          <w:sz w:val="24"/>
          <w:szCs w:val="18"/>
        </w:rPr>
        <w:t xml:space="preserve"> observed for males and females</w:t>
      </w:r>
      <w:r w:rsidR="004D19FC">
        <w:rPr>
          <w:rFonts w:ascii="Times New Roman" w:hAnsi="Times New Roman" w:cs="Times New Roman"/>
          <w:sz w:val="24"/>
          <w:szCs w:val="18"/>
        </w:rPr>
        <w:t xml:space="preserve"> </w:t>
      </w:r>
      <w:r w:rsidRPr="00BA2FF7">
        <w:rPr>
          <w:rFonts w:ascii="Times New Roman" w:hAnsi="Times New Roman" w:cs="Times New Roman"/>
          <w:b/>
          <w:bCs/>
          <w:sz w:val="24"/>
          <w:szCs w:val="18"/>
        </w:rPr>
        <w:t>(Graph 4)</w:t>
      </w:r>
      <w:r w:rsidR="005323C7">
        <w:rPr>
          <w:rFonts w:ascii="Times New Roman" w:hAnsi="Times New Roman" w:cs="Times New Roman"/>
          <w:sz w:val="24"/>
          <w:szCs w:val="18"/>
        </w:rPr>
        <w:t>.</w:t>
      </w:r>
    </w:p>
    <w:p w:rsidR="00421C4E" w:rsidRDefault="00BA2FF7" w:rsidP="00985AE3">
      <w:pPr>
        <w:autoSpaceDE w:val="0"/>
        <w:autoSpaceDN w:val="0"/>
        <w:adjustRightInd w:val="0"/>
        <w:spacing w:after="0" w:line="240" w:lineRule="auto"/>
        <w:jc w:val="both"/>
        <w:rPr>
          <w:rFonts w:ascii="Times New Roman" w:hAnsi="Times New Roman" w:cs="Times New Roman"/>
          <w:sz w:val="24"/>
          <w:szCs w:val="18"/>
        </w:rPr>
      </w:pPr>
      <w:r w:rsidRPr="00BA2FF7">
        <w:rPr>
          <w:rFonts w:ascii="Times New Roman" w:hAnsi="Times New Roman" w:cs="Times New Roman"/>
          <w:sz w:val="24"/>
          <w:szCs w:val="18"/>
        </w:rPr>
        <w:t xml:space="preserve">Lower </w:t>
      </w:r>
      <w:r w:rsidR="00222910" w:rsidRPr="00BA2FF7">
        <w:rPr>
          <w:rFonts w:ascii="Times New Roman" w:hAnsi="Times New Roman" w:cs="Times New Roman"/>
          <w:sz w:val="24"/>
          <w:szCs w:val="18"/>
        </w:rPr>
        <w:t>facial height had a m</w:t>
      </w:r>
      <w:r w:rsidRPr="00BA2FF7">
        <w:rPr>
          <w:rFonts w:ascii="Times New Roman" w:hAnsi="Times New Roman" w:cs="Times New Roman"/>
          <w:sz w:val="24"/>
          <w:szCs w:val="18"/>
        </w:rPr>
        <w:t xml:space="preserve">ean value of </w:t>
      </w:r>
      <w:r w:rsidR="00421C4E">
        <w:rPr>
          <w:rFonts w:ascii="Times New Roman" w:hAnsi="Times New Roman" w:cs="Times New Roman"/>
          <w:sz w:val="24"/>
          <w:szCs w:val="18"/>
        </w:rPr>
        <w:t>68.18±4.83 mm and 66.63±5.29</w:t>
      </w:r>
      <w:r w:rsidR="00024402">
        <w:rPr>
          <w:rFonts w:ascii="Times New Roman" w:hAnsi="Times New Roman" w:cs="Times New Roman"/>
          <w:sz w:val="24"/>
          <w:szCs w:val="18"/>
        </w:rPr>
        <w:t xml:space="preserve"> mm </w:t>
      </w:r>
      <w:r w:rsidR="00421C4E">
        <w:rPr>
          <w:rFonts w:ascii="Times New Roman" w:hAnsi="Times New Roman" w:cs="Times New Roman"/>
          <w:sz w:val="24"/>
          <w:szCs w:val="18"/>
        </w:rPr>
        <w:t xml:space="preserve">for </w:t>
      </w:r>
      <w:proofErr w:type="spellStart"/>
      <w:r w:rsidR="00421C4E">
        <w:rPr>
          <w:rFonts w:ascii="Times New Roman" w:hAnsi="Times New Roman" w:cs="Times New Roman"/>
          <w:sz w:val="24"/>
          <w:szCs w:val="18"/>
        </w:rPr>
        <w:t>normodivergent</w:t>
      </w:r>
      <w:proofErr w:type="spellEnd"/>
      <w:r w:rsidR="00421C4E">
        <w:rPr>
          <w:rFonts w:ascii="Times New Roman" w:hAnsi="Times New Roman" w:cs="Times New Roman"/>
          <w:sz w:val="24"/>
          <w:szCs w:val="18"/>
        </w:rPr>
        <w:t xml:space="preserve">, 66.93±5.07 mm </w:t>
      </w:r>
      <w:r w:rsidR="00C55FE1">
        <w:rPr>
          <w:rFonts w:ascii="Times New Roman" w:hAnsi="Times New Roman" w:cs="Times New Roman"/>
          <w:sz w:val="24"/>
          <w:szCs w:val="18"/>
        </w:rPr>
        <w:t xml:space="preserve">and 66.40±3.21 mm for </w:t>
      </w:r>
      <w:proofErr w:type="spellStart"/>
      <w:r w:rsidR="00C55FE1">
        <w:rPr>
          <w:rFonts w:ascii="Times New Roman" w:hAnsi="Times New Roman" w:cs="Times New Roman"/>
          <w:sz w:val="24"/>
          <w:szCs w:val="18"/>
        </w:rPr>
        <w:t>hypodivergent</w:t>
      </w:r>
      <w:proofErr w:type="spellEnd"/>
      <w:r w:rsidR="00421C4E">
        <w:rPr>
          <w:rFonts w:ascii="Times New Roman" w:hAnsi="Times New Roman" w:cs="Times New Roman"/>
          <w:sz w:val="24"/>
          <w:szCs w:val="18"/>
        </w:rPr>
        <w:t xml:space="preserve"> &amp; 76.73±5.47 m</w:t>
      </w:r>
      <w:r w:rsidR="00C55FE1">
        <w:rPr>
          <w:rFonts w:ascii="Times New Roman" w:hAnsi="Times New Roman" w:cs="Times New Roman"/>
          <w:sz w:val="24"/>
          <w:szCs w:val="18"/>
        </w:rPr>
        <w:t xml:space="preserve">m and 71.30±5.75 mm for </w:t>
      </w:r>
      <w:proofErr w:type="spellStart"/>
      <w:r w:rsidR="00C55FE1">
        <w:rPr>
          <w:rFonts w:ascii="Times New Roman" w:hAnsi="Times New Roman" w:cs="Times New Roman"/>
          <w:sz w:val="24"/>
          <w:szCs w:val="18"/>
        </w:rPr>
        <w:t>hyperdivergent</w:t>
      </w:r>
      <w:proofErr w:type="spellEnd"/>
      <w:r w:rsidR="00421C4E">
        <w:rPr>
          <w:rFonts w:ascii="Times New Roman" w:hAnsi="Times New Roman" w:cs="Times New Roman"/>
          <w:sz w:val="24"/>
          <w:szCs w:val="18"/>
        </w:rPr>
        <w:t xml:space="preserve"> </w:t>
      </w:r>
      <w:r w:rsidR="00222910" w:rsidRPr="00BA2FF7">
        <w:rPr>
          <w:rFonts w:ascii="Times New Roman" w:hAnsi="Times New Roman" w:cs="Times New Roman"/>
          <w:sz w:val="24"/>
          <w:szCs w:val="18"/>
        </w:rPr>
        <w:t>for</w:t>
      </w:r>
      <w:r w:rsidR="005323C7">
        <w:rPr>
          <w:rFonts w:ascii="Times New Roman" w:hAnsi="Times New Roman" w:cs="Times New Roman"/>
          <w:sz w:val="24"/>
          <w:szCs w:val="18"/>
        </w:rPr>
        <w:t xml:space="preserve"> males and females respectively</w:t>
      </w:r>
      <w:r w:rsidR="004D19FC">
        <w:rPr>
          <w:rFonts w:ascii="Times New Roman" w:hAnsi="Times New Roman" w:cs="Times New Roman"/>
          <w:sz w:val="24"/>
          <w:szCs w:val="18"/>
        </w:rPr>
        <w:t xml:space="preserve"> </w:t>
      </w:r>
      <w:r w:rsidR="00222910" w:rsidRPr="00BA2FF7">
        <w:rPr>
          <w:rFonts w:ascii="Times New Roman" w:hAnsi="Times New Roman" w:cs="Times New Roman"/>
          <w:b/>
          <w:bCs/>
          <w:sz w:val="24"/>
          <w:szCs w:val="18"/>
        </w:rPr>
        <w:t>(Graph 5)</w:t>
      </w:r>
      <w:r w:rsidR="005323C7">
        <w:rPr>
          <w:rFonts w:ascii="Times New Roman" w:hAnsi="Times New Roman" w:cs="Times New Roman"/>
          <w:sz w:val="24"/>
          <w:szCs w:val="18"/>
        </w:rPr>
        <w:t>.</w:t>
      </w:r>
    </w:p>
    <w:p w:rsidR="00214EDE" w:rsidRDefault="00421C4E" w:rsidP="00985AE3">
      <w:pPr>
        <w:autoSpaceDE w:val="0"/>
        <w:autoSpaceDN w:val="0"/>
        <w:adjustRightInd w:val="0"/>
        <w:spacing w:after="0" w:line="240" w:lineRule="auto"/>
        <w:jc w:val="both"/>
        <w:rPr>
          <w:rFonts w:ascii="Times New Roman" w:hAnsi="Times New Roman" w:cs="Times New Roman"/>
          <w:sz w:val="24"/>
          <w:szCs w:val="18"/>
        </w:rPr>
      </w:pPr>
      <w:proofErr w:type="spellStart"/>
      <w:r>
        <w:rPr>
          <w:rFonts w:ascii="Times New Roman" w:hAnsi="Times New Roman" w:cs="Times New Roman"/>
          <w:sz w:val="24"/>
          <w:szCs w:val="18"/>
        </w:rPr>
        <w:t>Cephalometric</w:t>
      </w:r>
      <w:proofErr w:type="spellEnd"/>
      <w:r>
        <w:rPr>
          <w:rFonts w:ascii="Times New Roman" w:hAnsi="Times New Roman" w:cs="Times New Roman"/>
          <w:sz w:val="24"/>
          <w:szCs w:val="18"/>
        </w:rPr>
        <w:t xml:space="preserve"> </w:t>
      </w:r>
      <w:r w:rsidRPr="00BA2FF7">
        <w:rPr>
          <w:rFonts w:ascii="Times New Roman" w:hAnsi="Times New Roman" w:cs="Times New Roman"/>
          <w:sz w:val="24"/>
          <w:szCs w:val="18"/>
        </w:rPr>
        <w:t xml:space="preserve">Lower facial height had a mean value of </w:t>
      </w:r>
      <w:r>
        <w:rPr>
          <w:rFonts w:ascii="Times New Roman" w:hAnsi="Times New Roman" w:cs="Times New Roman"/>
          <w:sz w:val="24"/>
          <w:szCs w:val="18"/>
        </w:rPr>
        <w:t>69.73±4.81 mm and 67.53±5.93</w:t>
      </w:r>
      <w:r w:rsidRPr="00BA2FF7">
        <w:rPr>
          <w:rFonts w:ascii="Times New Roman" w:hAnsi="Times New Roman" w:cs="Times New Roman"/>
          <w:sz w:val="24"/>
          <w:szCs w:val="18"/>
        </w:rPr>
        <w:t xml:space="preserve"> </w:t>
      </w:r>
      <w:proofErr w:type="gramStart"/>
      <w:r w:rsidRPr="00BA2FF7">
        <w:rPr>
          <w:rFonts w:ascii="Times New Roman" w:hAnsi="Times New Roman" w:cs="Times New Roman"/>
          <w:sz w:val="24"/>
          <w:szCs w:val="18"/>
        </w:rPr>
        <w:t xml:space="preserve">mm </w:t>
      </w:r>
      <w:r>
        <w:rPr>
          <w:rFonts w:ascii="Times New Roman" w:hAnsi="Times New Roman" w:cs="Times New Roman"/>
          <w:sz w:val="24"/>
          <w:szCs w:val="18"/>
        </w:rPr>
        <w:t xml:space="preserve"> for</w:t>
      </w:r>
      <w:proofErr w:type="gramEnd"/>
      <w:r>
        <w:rPr>
          <w:rFonts w:ascii="Times New Roman" w:hAnsi="Times New Roman" w:cs="Times New Roman"/>
          <w:sz w:val="24"/>
          <w:szCs w:val="18"/>
        </w:rPr>
        <w:t xml:space="preserve"> </w:t>
      </w:r>
      <w:proofErr w:type="spellStart"/>
      <w:r>
        <w:rPr>
          <w:rFonts w:ascii="Times New Roman" w:hAnsi="Times New Roman" w:cs="Times New Roman"/>
          <w:sz w:val="24"/>
          <w:szCs w:val="18"/>
        </w:rPr>
        <w:t>normodivergent</w:t>
      </w:r>
      <w:proofErr w:type="spellEnd"/>
      <w:r>
        <w:rPr>
          <w:rFonts w:ascii="Times New Roman" w:hAnsi="Times New Roman" w:cs="Times New Roman"/>
          <w:sz w:val="24"/>
          <w:szCs w:val="18"/>
        </w:rPr>
        <w:t xml:space="preserve">, 67.67±5.47 mm </w:t>
      </w:r>
      <w:r w:rsidR="00C55FE1">
        <w:rPr>
          <w:rFonts w:ascii="Times New Roman" w:hAnsi="Times New Roman" w:cs="Times New Roman"/>
          <w:sz w:val="24"/>
          <w:szCs w:val="18"/>
        </w:rPr>
        <w:t xml:space="preserve">and 67.13±3.22 mm for </w:t>
      </w:r>
      <w:proofErr w:type="spellStart"/>
      <w:r w:rsidR="00C55FE1">
        <w:rPr>
          <w:rFonts w:ascii="Times New Roman" w:hAnsi="Times New Roman" w:cs="Times New Roman"/>
          <w:sz w:val="24"/>
          <w:szCs w:val="18"/>
        </w:rPr>
        <w:t>hypodivergent</w:t>
      </w:r>
      <w:proofErr w:type="spellEnd"/>
      <w:r>
        <w:rPr>
          <w:rFonts w:ascii="Times New Roman" w:hAnsi="Times New Roman" w:cs="Times New Roman"/>
          <w:sz w:val="24"/>
          <w:szCs w:val="18"/>
        </w:rPr>
        <w:t xml:space="preserve"> &amp; 77.93±5.67 m</w:t>
      </w:r>
      <w:r w:rsidR="00C55FE1">
        <w:rPr>
          <w:rFonts w:ascii="Times New Roman" w:hAnsi="Times New Roman" w:cs="Times New Roman"/>
          <w:sz w:val="24"/>
          <w:szCs w:val="18"/>
        </w:rPr>
        <w:t xml:space="preserve">m and 72.97±6.31 mm for </w:t>
      </w:r>
      <w:proofErr w:type="spellStart"/>
      <w:r w:rsidR="00C55FE1">
        <w:rPr>
          <w:rFonts w:ascii="Times New Roman" w:hAnsi="Times New Roman" w:cs="Times New Roman"/>
          <w:sz w:val="24"/>
          <w:szCs w:val="18"/>
        </w:rPr>
        <w:t>hyperdivergent</w:t>
      </w:r>
      <w:proofErr w:type="spellEnd"/>
      <w:r>
        <w:rPr>
          <w:rFonts w:ascii="Times New Roman" w:hAnsi="Times New Roman" w:cs="Times New Roman"/>
          <w:sz w:val="24"/>
          <w:szCs w:val="18"/>
        </w:rPr>
        <w:t xml:space="preserve"> </w:t>
      </w:r>
      <w:r w:rsidRPr="00BA2FF7">
        <w:rPr>
          <w:rFonts w:ascii="Times New Roman" w:hAnsi="Times New Roman" w:cs="Times New Roman"/>
          <w:sz w:val="24"/>
          <w:szCs w:val="18"/>
        </w:rPr>
        <w:t>for</w:t>
      </w:r>
      <w:r w:rsidR="005323C7">
        <w:rPr>
          <w:rFonts w:ascii="Times New Roman" w:hAnsi="Times New Roman" w:cs="Times New Roman"/>
          <w:sz w:val="24"/>
          <w:szCs w:val="18"/>
        </w:rPr>
        <w:t xml:space="preserve"> males and females respectively</w:t>
      </w:r>
      <w:r w:rsidR="004D19FC">
        <w:rPr>
          <w:rFonts w:ascii="Times New Roman" w:hAnsi="Times New Roman" w:cs="Times New Roman"/>
          <w:sz w:val="24"/>
          <w:szCs w:val="18"/>
        </w:rPr>
        <w:t xml:space="preserve"> </w:t>
      </w:r>
      <w:r>
        <w:rPr>
          <w:rFonts w:ascii="Times New Roman" w:hAnsi="Times New Roman" w:cs="Times New Roman"/>
          <w:b/>
          <w:bCs/>
          <w:sz w:val="24"/>
          <w:szCs w:val="18"/>
        </w:rPr>
        <w:t>(Graph 6</w:t>
      </w:r>
      <w:r w:rsidRPr="00BA2FF7">
        <w:rPr>
          <w:rFonts w:ascii="Times New Roman" w:hAnsi="Times New Roman" w:cs="Times New Roman"/>
          <w:b/>
          <w:bCs/>
          <w:sz w:val="24"/>
          <w:szCs w:val="18"/>
        </w:rPr>
        <w:t>)</w:t>
      </w:r>
      <w:r w:rsidR="00024402">
        <w:rPr>
          <w:rFonts w:ascii="Times New Roman" w:hAnsi="Times New Roman" w:cs="Times New Roman"/>
          <w:sz w:val="24"/>
          <w:szCs w:val="18"/>
        </w:rPr>
        <w:t>.</w:t>
      </w:r>
    </w:p>
    <w:p w:rsidR="004F71C6" w:rsidRDefault="004F71C6" w:rsidP="00985AE3">
      <w:pPr>
        <w:autoSpaceDE w:val="0"/>
        <w:autoSpaceDN w:val="0"/>
        <w:adjustRightInd w:val="0"/>
        <w:spacing w:after="0" w:line="240" w:lineRule="auto"/>
        <w:jc w:val="both"/>
        <w:rPr>
          <w:rFonts w:ascii="Times New Roman" w:hAnsi="Times New Roman" w:cs="Times New Roman"/>
          <w:sz w:val="24"/>
          <w:szCs w:val="18"/>
        </w:rPr>
      </w:pPr>
    </w:p>
    <w:p w:rsidR="00891DC6" w:rsidRPr="00E4227C" w:rsidRDefault="00891DC6" w:rsidP="00E4227C">
      <w:pPr>
        <w:autoSpaceDE w:val="0"/>
        <w:autoSpaceDN w:val="0"/>
        <w:adjustRightInd w:val="0"/>
        <w:spacing w:after="0" w:line="240" w:lineRule="auto"/>
        <w:jc w:val="center"/>
        <w:rPr>
          <w:rFonts w:ascii="Times New Roman" w:hAnsi="Times New Roman" w:cs="Times New Roman"/>
          <w:b/>
          <w:sz w:val="24"/>
          <w:szCs w:val="18"/>
        </w:rPr>
      </w:pPr>
      <w:proofErr w:type="gramStart"/>
      <w:r w:rsidRPr="00E4227C">
        <w:rPr>
          <w:rFonts w:ascii="Times New Roman" w:hAnsi="Times New Roman" w:cs="Times New Roman"/>
          <w:b/>
          <w:sz w:val="24"/>
          <w:szCs w:val="18"/>
        </w:rPr>
        <w:t>Graph.1. Mean and stan</w:t>
      </w:r>
      <w:r w:rsidR="00017451" w:rsidRPr="00E4227C">
        <w:rPr>
          <w:rFonts w:ascii="Times New Roman" w:hAnsi="Times New Roman" w:cs="Times New Roman"/>
          <w:b/>
          <w:sz w:val="24"/>
          <w:szCs w:val="18"/>
        </w:rPr>
        <w:t xml:space="preserve">dard deviation of </w:t>
      </w:r>
      <w:r w:rsidRPr="00E4227C">
        <w:rPr>
          <w:rFonts w:ascii="Times New Roman" w:hAnsi="Times New Roman" w:cs="Times New Roman"/>
          <w:b/>
          <w:sz w:val="24"/>
          <w:szCs w:val="18"/>
        </w:rPr>
        <w:t>clinical crown height of 11.</w:t>
      </w:r>
      <w:proofErr w:type="gramEnd"/>
    </w:p>
    <w:p w:rsidR="00017451" w:rsidRDefault="00017451" w:rsidP="00985AE3">
      <w:pPr>
        <w:autoSpaceDE w:val="0"/>
        <w:autoSpaceDN w:val="0"/>
        <w:adjustRightInd w:val="0"/>
        <w:spacing w:after="0" w:line="240" w:lineRule="auto"/>
        <w:jc w:val="both"/>
        <w:rPr>
          <w:rFonts w:ascii="Times New Roman" w:hAnsi="Times New Roman" w:cs="Times New Roman"/>
          <w:sz w:val="24"/>
          <w:szCs w:val="18"/>
        </w:rPr>
      </w:pPr>
      <w:r>
        <w:rPr>
          <w:rFonts w:ascii="Times New Roman" w:hAnsi="Times New Roman" w:cs="Times New Roman"/>
          <w:sz w:val="24"/>
          <w:szCs w:val="18"/>
        </w:rPr>
        <w:t xml:space="preserve">                  </w:t>
      </w:r>
      <w:r w:rsidR="005D229B">
        <w:rPr>
          <w:rFonts w:ascii="Times New Roman" w:hAnsi="Times New Roman" w:cs="Times New Roman"/>
          <w:sz w:val="24"/>
          <w:szCs w:val="18"/>
        </w:rPr>
        <w:t xml:space="preserve">   </w:t>
      </w:r>
      <w:r>
        <w:rPr>
          <w:noProof/>
        </w:rPr>
        <w:drawing>
          <wp:inline distT="0" distB="0" distL="0" distR="0" wp14:anchorId="567E728B" wp14:editId="4BFD1E41">
            <wp:extent cx="4638675" cy="1619250"/>
            <wp:effectExtent l="0" t="0" r="9525" b="1905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D229B">
        <w:rPr>
          <w:rFonts w:ascii="Times New Roman" w:hAnsi="Times New Roman" w:cs="Times New Roman"/>
          <w:sz w:val="24"/>
          <w:szCs w:val="18"/>
        </w:rPr>
        <w:t xml:space="preserve">  </w:t>
      </w:r>
    </w:p>
    <w:p w:rsidR="00C318F8" w:rsidRDefault="00C318F8" w:rsidP="00985AE3">
      <w:pPr>
        <w:autoSpaceDE w:val="0"/>
        <w:autoSpaceDN w:val="0"/>
        <w:adjustRightInd w:val="0"/>
        <w:spacing w:after="0" w:line="240" w:lineRule="auto"/>
        <w:jc w:val="both"/>
        <w:rPr>
          <w:rFonts w:ascii="Times New Roman" w:hAnsi="Times New Roman" w:cs="Times New Roman"/>
          <w:sz w:val="24"/>
          <w:szCs w:val="18"/>
        </w:rPr>
      </w:pPr>
    </w:p>
    <w:p w:rsidR="00CD5ED7" w:rsidRDefault="00CD5ED7" w:rsidP="00E4227C">
      <w:pPr>
        <w:autoSpaceDE w:val="0"/>
        <w:autoSpaceDN w:val="0"/>
        <w:adjustRightInd w:val="0"/>
        <w:spacing w:after="0" w:line="240" w:lineRule="auto"/>
        <w:jc w:val="center"/>
        <w:rPr>
          <w:rFonts w:ascii="Times New Roman" w:hAnsi="Times New Roman" w:cs="Times New Roman"/>
          <w:b/>
          <w:sz w:val="24"/>
          <w:szCs w:val="18"/>
        </w:rPr>
      </w:pPr>
    </w:p>
    <w:p w:rsidR="00CD5ED7" w:rsidRDefault="00CD5ED7" w:rsidP="00E4227C">
      <w:pPr>
        <w:autoSpaceDE w:val="0"/>
        <w:autoSpaceDN w:val="0"/>
        <w:adjustRightInd w:val="0"/>
        <w:spacing w:after="0" w:line="240" w:lineRule="auto"/>
        <w:jc w:val="center"/>
        <w:rPr>
          <w:rFonts w:ascii="Times New Roman" w:hAnsi="Times New Roman" w:cs="Times New Roman"/>
          <w:b/>
          <w:sz w:val="24"/>
          <w:szCs w:val="18"/>
        </w:rPr>
      </w:pPr>
    </w:p>
    <w:p w:rsidR="00CD5ED7" w:rsidRDefault="00CD5ED7" w:rsidP="00E4227C">
      <w:pPr>
        <w:autoSpaceDE w:val="0"/>
        <w:autoSpaceDN w:val="0"/>
        <w:adjustRightInd w:val="0"/>
        <w:spacing w:after="0" w:line="240" w:lineRule="auto"/>
        <w:jc w:val="center"/>
        <w:rPr>
          <w:rFonts w:ascii="Times New Roman" w:hAnsi="Times New Roman" w:cs="Times New Roman"/>
          <w:b/>
          <w:sz w:val="24"/>
          <w:szCs w:val="18"/>
        </w:rPr>
      </w:pPr>
    </w:p>
    <w:p w:rsidR="00CD5ED7" w:rsidRDefault="00CD5ED7" w:rsidP="00E4227C">
      <w:pPr>
        <w:autoSpaceDE w:val="0"/>
        <w:autoSpaceDN w:val="0"/>
        <w:adjustRightInd w:val="0"/>
        <w:spacing w:after="0" w:line="240" w:lineRule="auto"/>
        <w:jc w:val="center"/>
        <w:rPr>
          <w:rFonts w:ascii="Times New Roman" w:hAnsi="Times New Roman" w:cs="Times New Roman"/>
          <w:b/>
          <w:sz w:val="24"/>
          <w:szCs w:val="18"/>
        </w:rPr>
      </w:pPr>
    </w:p>
    <w:p w:rsidR="00CD5ED7" w:rsidRDefault="00CD5ED7" w:rsidP="00E4227C">
      <w:pPr>
        <w:autoSpaceDE w:val="0"/>
        <w:autoSpaceDN w:val="0"/>
        <w:adjustRightInd w:val="0"/>
        <w:spacing w:after="0" w:line="240" w:lineRule="auto"/>
        <w:jc w:val="center"/>
        <w:rPr>
          <w:rFonts w:ascii="Times New Roman" w:hAnsi="Times New Roman" w:cs="Times New Roman"/>
          <w:b/>
          <w:sz w:val="24"/>
          <w:szCs w:val="18"/>
        </w:rPr>
      </w:pPr>
    </w:p>
    <w:p w:rsidR="00CD5ED7" w:rsidRDefault="00CD5ED7" w:rsidP="00E4227C">
      <w:pPr>
        <w:autoSpaceDE w:val="0"/>
        <w:autoSpaceDN w:val="0"/>
        <w:adjustRightInd w:val="0"/>
        <w:spacing w:after="0" w:line="240" w:lineRule="auto"/>
        <w:jc w:val="center"/>
        <w:rPr>
          <w:rFonts w:ascii="Times New Roman" w:hAnsi="Times New Roman" w:cs="Times New Roman"/>
          <w:b/>
          <w:sz w:val="24"/>
          <w:szCs w:val="18"/>
        </w:rPr>
      </w:pPr>
    </w:p>
    <w:p w:rsidR="00CD5ED7" w:rsidRDefault="00CD5ED7" w:rsidP="00E4227C">
      <w:pPr>
        <w:autoSpaceDE w:val="0"/>
        <w:autoSpaceDN w:val="0"/>
        <w:adjustRightInd w:val="0"/>
        <w:spacing w:after="0" w:line="240" w:lineRule="auto"/>
        <w:jc w:val="center"/>
        <w:rPr>
          <w:rFonts w:ascii="Times New Roman" w:hAnsi="Times New Roman" w:cs="Times New Roman"/>
          <w:b/>
          <w:sz w:val="24"/>
          <w:szCs w:val="18"/>
        </w:rPr>
      </w:pPr>
    </w:p>
    <w:p w:rsidR="00CD5ED7" w:rsidRDefault="00CD5ED7" w:rsidP="00E4227C">
      <w:pPr>
        <w:autoSpaceDE w:val="0"/>
        <w:autoSpaceDN w:val="0"/>
        <w:adjustRightInd w:val="0"/>
        <w:spacing w:after="0" w:line="240" w:lineRule="auto"/>
        <w:jc w:val="center"/>
        <w:rPr>
          <w:rFonts w:ascii="Times New Roman" w:hAnsi="Times New Roman" w:cs="Times New Roman"/>
          <w:b/>
          <w:sz w:val="24"/>
          <w:szCs w:val="18"/>
        </w:rPr>
      </w:pPr>
    </w:p>
    <w:p w:rsidR="00017451" w:rsidRPr="00E4227C" w:rsidRDefault="00017451" w:rsidP="00E4227C">
      <w:pPr>
        <w:autoSpaceDE w:val="0"/>
        <w:autoSpaceDN w:val="0"/>
        <w:adjustRightInd w:val="0"/>
        <w:spacing w:after="0" w:line="240" w:lineRule="auto"/>
        <w:jc w:val="center"/>
        <w:rPr>
          <w:rFonts w:ascii="Times New Roman" w:hAnsi="Times New Roman" w:cs="Times New Roman"/>
          <w:b/>
          <w:sz w:val="24"/>
          <w:szCs w:val="18"/>
        </w:rPr>
      </w:pPr>
      <w:proofErr w:type="gramStart"/>
      <w:r w:rsidRPr="00E4227C">
        <w:rPr>
          <w:rFonts w:ascii="Times New Roman" w:hAnsi="Times New Roman" w:cs="Times New Roman"/>
          <w:b/>
          <w:sz w:val="24"/>
          <w:szCs w:val="18"/>
        </w:rPr>
        <w:lastRenderedPageBreak/>
        <w:t>Graph.2. Mean and standard deviation of clinical crown height of 16.</w:t>
      </w:r>
      <w:proofErr w:type="gramEnd"/>
    </w:p>
    <w:p w:rsidR="00EB44F3" w:rsidRDefault="00017451" w:rsidP="00985AE3">
      <w:pPr>
        <w:autoSpaceDE w:val="0"/>
        <w:autoSpaceDN w:val="0"/>
        <w:adjustRightInd w:val="0"/>
        <w:spacing w:after="0" w:line="240" w:lineRule="auto"/>
        <w:jc w:val="both"/>
        <w:rPr>
          <w:rFonts w:ascii="Times New Roman" w:hAnsi="Times New Roman" w:cs="Times New Roman"/>
          <w:sz w:val="24"/>
          <w:szCs w:val="18"/>
        </w:rPr>
      </w:pPr>
      <w:r>
        <w:rPr>
          <w:rFonts w:ascii="Times New Roman" w:hAnsi="Times New Roman" w:cs="Times New Roman"/>
          <w:sz w:val="24"/>
          <w:szCs w:val="18"/>
        </w:rPr>
        <w:t xml:space="preserve">                     </w:t>
      </w:r>
      <w:r w:rsidR="00F37873">
        <w:rPr>
          <w:noProof/>
        </w:rPr>
        <w:drawing>
          <wp:inline distT="0" distB="0" distL="0" distR="0" wp14:anchorId="487E82B2" wp14:editId="3868D3C3">
            <wp:extent cx="4638675" cy="1619250"/>
            <wp:effectExtent l="0" t="0" r="9525"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B44F3" w:rsidRDefault="00EB44F3" w:rsidP="00985AE3">
      <w:pPr>
        <w:autoSpaceDE w:val="0"/>
        <w:autoSpaceDN w:val="0"/>
        <w:adjustRightInd w:val="0"/>
        <w:spacing w:after="0" w:line="240" w:lineRule="auto"/>
        <w:jc w:val="both"/>
        <w:rPr>
          <w:rFonts w:ascii="Times New Roman" w:hAnsi="Times New Roman" w:cs="Times New Roman"/>
          <w:sz w:val="24"/>
          <w:szCs w:val="18"/>
        </w:rPr>
      </w:pPr>
    </w:p>
    <w:p w:rsidR="00024402" w:rsidRDefault="00024402" w:rsidP="00985AE3">
      <w:pPr>
        <w:autoSpaceDE w:val="0"/>
        <w:autoSpaceDN w:val="0"/>
        <w:adjustRightInd w:val="0"/>
        <w:spacing w:after="0" w:line="240" w:lineRule="auto"/>
        <w:jc w:val="both"/>
        <w:rPr>
          <w:rFonts w:ascii="Times New Roman" w:hAnsi="Times New Roman" w:cs="Times New Roman"/>
          <w:sz w:val="24"/>
          <w:szCs w:val="18"/>
        </w:rPr>
      </w:pPr>
    </w:p>
    <w:p w:rsidR="00024402" w:rsidRDefault="00024402" w:rsidP="00985AE3">
      <w:pPr>
        <w:autoSpaceDE w:val="0"/>
        <w:autoSpaceDN w:val="0"/>
        <w:adjustRightInd w:val="0"/>
        <w:spacing w:after="0" w:line="240" w:lineRule="auto"/>
        <w:jc w:val="both"/>
        <w:rPr>
          <w:rFonts w:ascii="Times New Roman" w:hAnsi="Times New Roman" w:cs="Times New Roman"/>
          <w:sz w:val="24"/>
          <w:szCs w:val="18"/>
        </w:rPr>
      </w:pPr>
    </w:p>
    <w:p w:rsidR="00EB44F3" w:rsidRPr="00E4227C" w:rsidRDefault="00EB44F3" w:rsidP="00E4227C">
      <w:pPr>
        <w:autoSpaceDE w:val="0"/>
        <w:autoSpaceDN w:val="0"/>
        <w:adjustRightInd w:val="0"/>
        <w:spacing w:after="0" w:line="240" w:lineRule="auto"/>
        <w:jc w:val="center"/>
        <w:rPr>
          <w:rFonts w:ascii="Times New Roman" w:hAnsi="Times New Roman" w:cs="Times New Roman"/>
          <w:b/>
          <w:sz w:val="24"/>
          <w:szCs w:val="18"/>
        </w:rPr>
      </w:pPr>
      <w:r w:rsidRPr="00E4227C">
        <w:rPr>
          <w:rFonts w:ascii="Times New Roman" w:hAnsi="Times New Roman" w:cs="Times New Roman"/>
          <w:b/>
          <w:sz w:val="24"/>
          <w:szCs w:val="18"/>
        </w:rPr>
        <w:t>Graph.3. Mean and standard de</w:t>
      </w:r>
      <w:r w:rsidR="00017451" w:rsidRPr="00E4227C">
        <w:rPr>
          <w:rFonts w:ascii="Times New Roman" w:hAnsi="Times New Roman" w:cs="Times New Roman"/>
          <w:b/>
          <w:sz w:val="24"/>
          <w:szCs w:val="18"/>
        </w:rPr>
        <w:t xml:space="preserve">viation of </w:t>
      </w:r>
      <w:r w:rsidRPr="00E4227C">
        <w:rPr>
          <w:rFonts w:ascii="Times New Roman" w:hAnsi="Times New Roman" w:cs="Times New Roman"/>
          <w:b/>
          <w:sz w:val="24"/>
          <w:szCs w:val="18"/>
        </w:rPr>
        <w:t>clinical</w:t>
      </w:r>
      <w:r w:rsidR="00F37873" w:rsidRPr="00E4227C">
        <w:rPr>
          <w:rFonts w:ascii="Times New Roman" w:hAnsi="Times New Roman" w:cs="Times New Roman"/>
          <w:b/>
          <w:sz w:val="24"/>
          <w:szCs w:val="18"/>
        </w:rPr>
        <w:t xml:space="preserve"> crown height of 41</w:t>
      </w:r>
    </w:p>
    <w:p w:rsidR="00017451" w:rsidRDefault="00F37873" w:rsidP="00985AE3">
      <w:pPr>
        <w:autoSpaceDE w:val="0"/>
        <w:autoSpaceDN w:val="0"/>
        <w:adjustRightInd w:val="0"/>
        <w:spacing w:after="0" w:line="240" w:lineRule="auto"/>
        <w:ind w:left="720"/>
        <w:jc w:val="both"/>
        <w:rPr>
          <w:rFonts w:ascii="Times New Roman" w:hAnsi="Times New Roman" w:cs="Times New Roman"/>
          <w:sz w:val="24"/>
          <w:szCs w:val="18"/>
        </w:rPr>
      </w:pPr>
      <w:r>
        <w:rPr>
          <w:rFonts w:ascii="Times New Roman" w:hAnsi="Times New Roman" w:cs="Times New Roman"/>
          <w:sz w:val="24"/>
          <w:szCs w:val="18"/>
        </w:rPr>
        <w:t xml:space="preserve">         </w:t>
      </w:r>
      <w:r>
        <w:rPr>
          <w:noProof/>
        </w:rPr>
        <w:drawing>
          <wp:inline distT="0" distB="0" distL="0" distR="0" wp14:anchorId="2890A54D" wp14:editId="50223D0F">
            <wp:extent cx="4686300" cy="1657350"/>
            <wp:effectExtent l="0" t="0" r="1905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5D229B">
        <w:rPr>
          <w:rFonts w:ascii="Times New Roman" w:hAnsi="Times New Roman" w:cs="Times New Roman"/>
          <w:sz w:val="24"/>
          <w:szCs w:val="18"/>
        </w:rPr>
        <w:t xml:space="preserve">  </w:t>
      </w:r>
    </w:p>
    <w:p w:rsidR="00F37873" w:rsidRDefault="00F37873" w:rsidP="00985AE3">
      <w:pPr>
        <w:autoSpaceDE w:val="0"/>
        <w:autoSpaceDN w:val="0"/>
        <w:adjustRightInd w:val="0"/>
        <w:spacing w:after="0" w:line="240" w:lineRule="auto"/>
        <w:ind w:left="720"/>
        <w:jc w:val="both"/>
        <w:rPr>
          <w:rFonts w:ascii="Times New Roman" w:hAnsi="Times New Roman" w:cs="Times New Roman"/>
          <w:sz w:val="24"/>
          <w:szCs w:val="18"/>
        </w:rPr>
      </w:pPr>
    </w:p>
    <w:p w:rsidR="005B133A" w:rsidRDefault="005B133A" w:rsidP="00E4227C">
      <w:pPr>
        <w:autoSpaceDE w:val="0"/>
        <w:autoSpaceDN w:val="0"/>
        <w:adjustRightInd w:val="0"/>
        <w:spacing w:after="0" w:line="240" w:lineRule="auto"/>
        <w:ind w:left="720"/>
        <w:jc w:val="center"/>
        <w:rPr>
          <w:rFonts w:ascii="Times New Roman" w:hAnsi="Times New Roman" w:cs="Times New Roman"/>
          <w:b/>
          <w:sz w:val="24"/>
          <w:szCs w:val="18"/>
        </w:rPr>
      </w:pPr>
    </w:p>
    <w:p w:rsidR="00F37873" w:rsidRPr="00E4227C" w:rsidRDefault="00D13BD1" w:rsidP="00E4227C">
      <w:pPr>
        <w:autoSpaceDE w:val="0"/>
        <w:autoSpaceDN w:val="0"/>
        <w:adjustRightInd w:val="0"/>
        <w:spacing w:after="0" w:line="240" w:lineRule="auto"/>
        <w:ind w:left="720"/>
        <w:jc w:val="center"/>
        <w:rPr>
          <w:rFonts w:ascii="Times New Roman" w:hAnsi="Times New Roman" w:cs="Times New Roman"/>
          <w:b/>
          <w:sz w:val="24"/>
          <w:szCs w:val="18"/>
        </w:rPr>
      </w:pPr>
      <w:r w:rsidRPr="00E4227C">
        <w:rPr>
          <w:rFonts w:ascii="Times New Roman" w:hAnsi="Times New Roman" w:cs="Times New Roman"/>
          <w:b/>
          <w:sz w:val="24"/>
          <w:szCs w:val="18"/>
        </w:rPr>
        <w:t>Graph.4</w:t>
      </w:r>
      <w:r w:rsidR="00F37873" w:rsidRPr="00E4227C">
        <w:rPr>
          <w:rFonts w:ascii="Times New Roman" w:hAnsi="Times New Roman" w:cs="Times New Roman"/>
          <w:b/>
          <w:sz w:val="24"/>
          <w:szCs w:val="18"/>
        </w:rPr>
        <w:t>. Mean and standard deviation of clinical crown height of 46</w:t>
      </w:r>
    </w:p>
    <w:p w:rsidR="00EB44F3" w:rsidRPr="005B133A" w:rsidRDefault="005D229B" w:rsidP="005B133A">
      <w:pPr>
        <w:pStyle w:val="NoSpacing"/>
        <w:rPr>
          <w:sz w:val="24"/>
          <w:szCs w:val="24"/>
        </w:rPr>
      </w:pPr>
      <w:r w:rsidRPr="005B133A">
        <w:rPr>
          <w:sz w:val="24"/>
          <w:szCs w:val="24"/>
        </w:rPr>
        <w:t xml:space="preserve"> </w:t>
      </w:r>
      <w:r w:rsidR="00E4227C" w:rsidRPr="005B133A">
        <w:rPr>
          <w:sz w:val="24"/>
          <w:szCs w:val="24"/>
        </w:rPr>
        <w:t xml:space="preserve">              </w:t>
      </w:r>
      <w:r w:rsidR="00CD5ED7">
        <w:rPr>
          <w:sz w:val="24"/>
          <w:szCs w:val="24"/>
        </w:rPr>
        <w:t xml:space="preserve">      </w:t>
      </w:r>
      <w:r w:rsidR="00E4227C" w:rsidRPr="005B133A">
        <w:rPr>
          <w:sz w:val="24"/>
          <w:szCs w:val="24"/>
        </w:rPr>
        <w:t xml:space="preserve"> </w:t>
      </w:r>
      <w:r w:rsidRPr="005B133A">
        <w:rPr>
          <w:sz w:val="24"/>
          <w:szCs w:val="24"/>
        </w:rPr>
        <w:t xml:space="preserve"> </w:t>
      </w:r>
      <w:r w:rsidR="00F37873" w:rsidRPr="005B133A">
        <w:rPr>
          <w:noProof/>
          <w:sz w:val="24"/>
          <w:szCs w:val="24"/>
        </w:rPr>
        <w:drawing>
          <wp:inline distT="0" distB="0" distL="0" distR="0" wp14:anchorId="6CFD1F8B" wp14:editId="45B01A8C">
            <wp:extent cx="4686300" cy="169545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D5ED7" w:rsidRDefault="00CD5ED7" w:rsidP="005B133A">
      <w:pPr>
        <w:pStyle w:val="NoSpacing"/>
        <w:jc w:val="center"/>
        <w:rPr>
          <w:rFonts w:ascii="Times New Roman" w:hAnsi="Times New Roman" w:cs="Times New Roman"/>
          <w:b/>
          <w:sz w:val="24"/>
        </w:rPr>
      </w:pPr>
    </w:p>
    <w:p w:rsidR="00CD5ED7" w:rsidRDefault="00CD5ED7" w:rsidP="005B133A">
      <w:pPr>
        <w:pStyle w:val="NoSpacing"/>
        <w:jc w:val="center"/>
        <w:rPr>
          <w:rFonts w:ascii="Times New Roman" w:hAnsi="Times New Roman" w:cs="Times New Roman"/>
          <w:b/>
          <w:sz w:val="24"/>
        </w:rPr>
      </w:pPr>
    </w:p>
    <w:p w:rsidR="00CD5ED7" w:rsidRDefault="00CD5ED7" w:rsidP="005B133A">
      <w:pPr>
        <w:pStyle w:val="NoSpacing"/>
        <w:jc w:val="center"/>
        <w:rPr>
          <w:rFonts w:ascii="Times New Roman" w:hAnsi="Times New Roman" w:cs="Times New Roman"/>
          <w:b/>
          <w:sz w:val="24"/>
        </w:rPr>
      </w:pPr>
    </w:p>
    <w:p w:rsidR="00CD5ED7" w:rsidRDefault="00CD5ED7" w:rsidP="005B133A">
      <w:pPr>
        <w:pStyle w:val="NoSpacing"/>
        <w:jc w:val="center"/>
        <w:rPr>
          <w:rFonts w:ascii="Times New Roman" w:hAnsi="Times New Roman" w:cs="Times New Roman"/>
          <w:b/>
          <w:sz w:val="24"/>
        </w:rPr>
      </w:pPr>
    </w:p>
    <w:p w:rsidR="00CD5ED7" w:rsidRDefault="00CD5ED7" w:rsidP="005B133A">
      <w:pPr>
        <w:pStyle w:val="NoSpacing"/>
        <w:jc w:val="center"/>
        <w:rPr>
          <w:rFonts w:ascii="Times New Roman" w:hAnsi="Times New Roman" w:cs="Times New Roman"/>
          <w:b/>
          <w:sz w:val="24"/>
        </w:rPr>
      </w:pPr>
    </w:p>
    <w:p w:rsidR="00CD5ED7" w:rsidRDefault="00CD5ED7" w:rsidP="005B133A">
      <w:pPr>
        <w:pStyle w:val="NoSpacing"/>
        <w:jc w:val="center"/>
        <w:rPr>
          <w:rFonts w:ascii="Times New Roman" w:hAnsi="Times New Roman" w:cs="Times New Roman"/>
          <w:b/>
          <w:sz w:val="24"/>
        </w:rPr>
      </w:pPr>
    </w:p>
    <w:p w:rsidR="00CD5ED7" w:rsidRDefault="00CD5ED7" w:rsidP="005B133A">
      <w:pPr>
        <w:pStyle w:val="NoSpacing"/>
        <w:jc w:val="center"/>
        <w:rPr>
          <w:rFonts w:ascii="Times New Roman" w:hAnsi="Times New Roman" w:cs="Times New Roman"/>
          <w:b/>
          <w:sz w:val="24"/>
        </w:rPr>
      </w:pPr>
    </w:p>
    <w:p w:rsidR="00CD5ED7" w:rsidRDefault="00CD5ED7" w:rsidP="005B133A">
      <w:pPr>
        <w:pStyle w:val="NoSpacing"/>
        <w:jc w:val="center"/>
        <w:rPr>
          <w:rFonts w:ascii="Times New Roman" w:hAnsi="Times New Roman" w:cs="Times New Roman"/>
          <w:b/>
          <w:sz w:val="24"/>
        </w:rPr>
      </w:pPr>
    </w:p>
    <w:p w:rsidR="00CD5ED7" w:rsidRDefault="00CD5ED7" w:rsidP="005B133A">
      <w:pPr>
        <w:pStyle w:val="NoSpacing"/>
        <w:jc w:val="center"/>
        <w:rPr>
          <w:rFonts w:ascii="Times New Roman" w:hAnsi="Times New Roman" w:cs="Times New Roman"/>
          <w:b/>
          <w:sz w:val="24"/>
        </w:rPr>
      </w:pPr>
    </w:p>
    <w:p w:rsidR="00CD5ED7" w:rsidRDefault="00CD5ED7" w:rsidP="005B133A">
      <w:pPr>
        <w:pStyle w:val="NoSpacing"/>
        <w:jc w:val="center"/>
        <w:rPr>
          <w:rFonts w:ascii="Times New Roman" w:hAnsi="Times New Roman" w:cs="Times New Roman"/>
          <w:b/>
          <w:sz w:val="24"/>
        </w:rPr>
      </w:pPr>
    </w:p>
    <w:p w:rsidR="00EB44F3" w:rsidRPr="005B133A" w:rsidRDefault="00EB44F3" w:rsidP="005B133A">
      <w:pPr>
        <w:pStyle w:val="NoSpacing"/>
        <w:jc w:val="center"/>
        <w:rPr>
          <w:rFonts w:ascii="Times New Roman" w:hAnsi="Times New Roman" w:cs="Times New Roman"/>
          <w:b/>
          <w:sz w:val="24"/>
        </w:rPr>
      </w:pPr>
      <w:r w:rsidRPr="005B133A">
        <w:rPr>
          <w:rFonts w:ascii="Times New Roman" w:hAnsi="Times New Roman" w:cs="Times New Roman"/>
          <w:b/>
          <w:sz w:val="24"/>
        </w:rPr>
        <w:lastRenderedPageBreak/>
        <w:t>Graph.5. Mean and standard de</w:t>
      </w:r>
      <w:r w:rsidR="00F37873" w:rsidRPr="005B133A">
        <w:rPr>
          <w:rFonts w:ascii="Times New Roman" w:hAnsi="Times New Roman" w:cs="Times New Roman"/>
          <w:b/>
          <w:sz w:val="24"/>
        </w:rPr>
        <w:t>viation of</w:t>
      </w:r>
      <w:r w:rsidRPr="005B133A">
        <w:rPr>
          <w:rFonts w:ascii="Times New Roman" w:hAnsi="Times New Roman" w:cs="Times New Roman"/>
          <w:b/>
          <w:sz w:val="24"/>
        </w:rPr>
        <w:t xml:space="preserve"> </w:t>
      </w:r>
      <w:r w:rsidR="00EA34C9" w:rsidRPr="005B133A">
        <w:rPr>
          <w:rFonts w:ascii="Times New Roman" w:hAnsi="Times New Roman" w:cs="Times New Roman"/>
          <w:b/>
          <w:sz w:val="24"/>
        </w:rPr>
        <w:t xml:space="preserve">Soft tissue </w:t>
      </w:r>
      <w:r w:rsidRPr="005B133A">
        <w:rPr>
          <w:rFonts w:ascii="Times New Roman" w:hAnsi="Times New Roman" w:cs="Times New Roman"/>
          <w:b/>
          <w:sz w:val="24"/>
        </w:rPr>
        <w:t xml:space="preserve">Lower facial </w:t>
      </w:r>
      <w:proofErr w:type="gramStart"/>
      <w:r w:rsidRPr="005B133A">
        <w:rPr>
          <w:rFonts w:ascii="Times New Roman" w:hAnsi="Times New Roman" w:cs="Times New Roman"/>
          <w:b/>
          <w:sz w:val="24"/>
        </w:rPr>
        <w:t>height(</w:t>
      </w:r>
      <w:proofErr w:type="gramEnd"/>
      <w:r w:rsidRPr="005B133A">
        <w:rPr>
          <w:rFonts w:ascii="Times New Roman" w:hAnsi="Times New Roman" w:cs="Times New Roman"/>
          <w:b/>
          <w:sz w:val="24"/>
        </w:rPr>
        <w:t>m</w:t>
      </w:r>
      <w:r w:rsidR="00F37873" w:rsidRPr="005B133A">
        <w:rPr>
          <w:rFonts w:ascii="Times New Roman" w:hAnsi="Times New Roman" w:cs="Times New Roman"/>
          <w:b/>
          <w:sz w:val="24"/>
        </w:rPr>
        <w:t>m).</w:t>
      </w:r>
    </w:p>
    <w:p w:rsidR="00F37873" w:rsidRPr="005B133A" w:rsidRDefault="00E4227C" w:rsidP="005B133A">
      <w:pPr>
        <w:pStyle w:val="NoSpacing"/>
        <w:rPr>
          <w:rFonts w:ascii="Times New Roman" w:hAnsi="Times New Roman" w:cs="Times New Roman"/>
        </w:rPr>
      </w:pPr>
      <w:r w:rsidRPr="005B133A">
        <w:rPr>
          <w:rFonts w:ascii="Times New Roman" w:hAnsi="Times New Roman" w:cs="Times New Roman"/>
        </w:rPr>
        <w:t xml:space="preserve">               </w:t>
      </w:r>
      <w:r w:rsidR="00F37873" w:rsidRPr="005B133A">
        <w:rPr>
          <w:rFonts w:ascii="Times New Roman" w:hAnsi="Times New Roman" w:cs="Times New Roman"/>
          <w:noProof/>
        </w:rPr>
        <w:drawing>
          <wp:inline distT="0" distB="0" distL="0" distR="0" wp14:anchorId="428A0997" wp14:editId="449EBF2C">
            <wp:extent cx="4857750" cy="1685925"/>
            <wp:effectExtent l="0" t="0" r="1905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5D229B" w:rsidRPr="005B133A">
        <w:rPr>
          <w:rFonts w:ascii="Times New Roman" w:hAnsi="Times New Roman" w:cs="Times New Roman"/>
        </w:rPr>
        <w:t xml:space="preserve"> </w:t>
      </w:r>
    </w:p>
    <w:p w:rsidR="00F37873" w:rsidRPr="005B133A" w:rsidRDefault="00F37873" w:rsidP="005B133A">
      <w:pPr>
        <w:pStyle w:val="NoSpacing"/>
        <w:jc w:val="center"/>
        <w:rPr>
          <w:rFonts w:ascii="Times New Roman" w:hAnsi="Times New Roman" w:cs="Times New Roman"/>
          <w:b/>
          <w:sz w:val="24"/>
        </w:rPr>
      </w:pPr>
      <w:r w:rsidRPr="005B133A">
        <w:rPr>
          <w:rFonts w:ascii="Times New Roman" w:hAnsi="Times New Roman" w:cs="Times New Roman"/>
          <w:b/>
          <w:sz w:val="24"/>
        </w:rPr>
        <w:t xml:space="preserve">Graph.6. Mean and standard deviation of </w:t>
      </w:r>
      <w:proofErr w:type="spellStart"/>
      <w:r w:rsidRPr="005B133A">
        <w:rPr>
          <w:rFonts w:ascii="Times New Roman" w:hAnsi="Times New Roman" w:cs="Times New Roman"/>
          <w:b/>
          <w:sz w:val="24"/>
        </w:rPr>
        <w:t>cephalometrically</w:t>
      </w:r>
      <w:proofErr w:type="spellEnd"/>
      <w:r w:rsidRPr="005B133A">
        <w:rPr>
          <w:rFonts w:ascii="Times New Roman" w:hAnsi="Times New Roman" w:cs="Times New Roman"/>
          <w:b/>
          <w:sz w:val="24"/>
        </w:rPr>
        <w:t xml:space="preserve"> Lower facial </w:t>
      </w:r>
      <w:proofErr w:type="gramStart"/>
      <w:r w:rsidRPr="005B133A">
        <w:rPr>
          <w:rFonts w:ascii="Times New Roman" w:hAnsi="Times New Roman" w:cs="Times New Roman"/>
          <w:b/>
          <w:sz w:val="24"/>
        </w:rPr>
        <w:t>height(</w:t>
      </w:r>
      <w:proofErr w:type="gramEnd"/>
      <w:r w:rsidRPr="005B133A">
        <w:rPr>
          <w:rFonts w:ascii="Times New Roman" w:hAnsi="Times New Roman" w:cs="Times New Roman"/>
          <w:b/>
          <w:sz w:val="24"/>
        </w:rPr>
        <w:t>mm).</w:t>
      </w:r>
    </w:p>
    <w:p w:rsidR="005D229B" w:rsidRDefault="005D229B" w:rsidP="005B133A">
      <w:pPr>
        <w:pStyle w:val="NoSpacing"/>
        <w:rPr>
          <w:noProof/>
        </w:rPr>
      </w:pPr>
      <w:r w:rsidRPr="005B133A">
        <w:rPr>
          <w:rFonts w:ascii="Times New Roman" w:hAnsi="Times New Roman" w:cs="Times New Roman"/>
        </w:rPr>
        <w:t xml:space="preserve"> </w:t>
      </w:r>
      <w:r w:rsidR="00E4227C" w:rsidRPr="005B133A">
        <w:rPr>
          <w:rFonts w:ascii="Times New Roman" w:hAnsi="Times New Roman" w:cs="Times New Roman"/>
        </w:rPr>
        <w:tab/>
      </w:r>
      <w:r w:rsidR="00F37873">
        <w:t xml:space="preserve">  </w:t>
      </w:r>
      <w:r>
        <w:t xml:space="preserve"> </w:t>
      </w:r>
      <w:r w:rsidR="00F37873">
        <w:rPr>
          <w:noProof/>
        </w:rPr>
        <w:drawing>
          <wp:inline distT="0" distB="0" distL="0" distR="0" wp14:anchorId="13CA575B" wp14:editId="548606E3">
            <wp:extent cx="4914900" cy="1685925"/>
            <wp:effectExtent l="0" t="0" r="19050" b="952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t xml:space="preserve">  </w:t>
      </w:r>
    </w:p>
    <w:p w:rsidR="00445A85" w:rsidRPr="004F71C6" w:rsidRDefault="00F37873" w:rsidP="004F71C6">
      <w:pPr>
        <w:pStyle w:val="NoSpacing"/>
        <w:jc w:val="both"/>
        <w:rPr>
          <w:rFonts w:ascii="Times New Roman" w:hAnsi="Times New Roman" w:cs="Times New Roman"/>
          <w:sz w:val="24"/>
        </w:rPr>
      </w:pPr>
      <w:r w:rsidRPr="004F71C6">
        <w:rPr>
          <w:rFonts w:ascii="Times New Roman" w:hAnsi="Times New Roman" w:cs="Times New Roman"/>
          <w:sz w:val="24"/>
        </w:rPr>
        <w:t xml:space="preserve">On </w:t>
      </w:r>
      <w:r w:rsidR="00222910" w:rsidRPr="004F71C6">
        <w:rPr>
          <w:rFonts w:ascii="Times New Roman" w:hAnsi="Times New Roman" w:cs="Times New Roman"/>
          <w:sz w:val="24"/>
        </w:rPr>
        <w:t>Statistical</w:t>
      </w:r>
      <w:r w:rsidR="008D13B4">
        <w:rPr>
          <w:rFonts w:ascii="Times New Roman" w:hAnsi="Times New Roman" w:cs="Times New Roman"/>
          <w:sz w:val="24"/>
        </w:rPr>
        <w:t xml:space="preserve"> analysis, high</w:t>
      </w:r>
      <w:r w:rsidR="00AB0232" w:rsidRPr="004F71C6">
        <w:rPr>
          <w:rFonts w:ascii="Times New Roman" w:hAnsi="Times New Roman" w:cs="Times New Roman"/>
          <w:sz w:val="24"/>
        </w:rPr>
        <w:t xml:space="preserve"> </w:t>
      </w:r>
      <w:r w:rsidR="00222910" w:rsidRPr="004F71C6">
        <w:rPr>
          <w:rFonts w:ascii="Times New Roman" w:hAnsi="Times New Roman" w:cs="Times New Roman"/>
          <w:sz w:val="24"/>
        </w:rPr>
        <w:t>significance was obser</w:t>
      </w:r>
      <w:r w:rsidR="00BA2FF7" w:rsidRPr="004F71C6">
        <w:rPr>
          <w:rFonts w:ascii="Times New Roman" w:hAnsi="Times New Roman" w:cs="Times New Roman"/>
          <w:sz w:val="24"/>
        </w:rPr>
        <w:t xml:space="preserve">ved </w:t>
      </w:r>
      <w:r w:rsidR="00222910" w:rsidRPr="004F71C6">
        <w:rPr>
          <w:rFonts w:ascii="Times New Roman" w:hAnsi="Times New Roman" w:cs="Times New Roman"/>
          <w:sz w:val="24"/>
        </w:rPr>
        <w:t>for 16</w:t>
      </w:r>
      <w:r w:rsidR="00BA2FF7" w:rsidRPr="004F71C6">
        <w:rPr>
          <w:rFonts w:ascii="Times New Roman" w:hAnsi="Times New Roman" w:cs="Times New Roman"/>
          <w:sz w:val="24"/>
        </w:rPr>
        <w:t xml:space="preserve"> </w:t>
      </w:r>
      <w:r w:rsidR="002B1F32" w:rsidRPr="004F71C6">
        <w:rPr>
          <w:rFonts w:ascii="Times New Roman" w:hAnsi="Times New Roman" w:cs="Times New Roman"/>
          <w:sz w:val="24"/>
        </w:rPr>
        <w:t xml:space="preserve">in </w:t>
      </w:r>
      <w:proofErr w:type="spellStart"/>
      <w:r w:rsidR="002B1F32" w:rsidRPr="004F71C6">
        <w:rPr>
          <w:rFonts w:ascii="Times New Roman" w:hAnsi="Times New Roman" w:cs="Times New Roman"/>
          <w:sz w:val="24"/>
        </w:rPr>
        <w:t>normodivergent</w:t>
      </w:r>
      <w:proofErr w:type="spellEnd"/>
      <w:r w:rsidR="002B1F32" w:rsidRPr="004F71C6">
        <w:rPr>
          <w:rFonts w:ascii="Times New Roman" w:hAnsi="Times New Roman" w:cs="Times New Roman"/>
          <w:sz w:val="24"/>
        </w:rPr>
        <w:t xml:space="preserve"> and</w:t>
      </w:r>
      <w:r w:rsidR="00BA2FF7" w:rsidRPr="004F71C6">
        <w:rPr>
          <w:rFonts w:ascii="Times New Roman" w:hAnsi="Times New Roman" w:cs="Times New Roman"/>
          <w:sz w:val="24"/>
        </w:rPr>
        <w:t xml:space="preserve"> lower facial height</w:t>
      </w:r>
      <w:r w:rsidR="002B1F32" w:rsidRPr="004F71C6">
        <w:rPr>
          <w:rFonts w:ascii="Times New Roman" w:hAnsi="Times New Roman" w:cs="Times New Roman"/>
          <w:sz w:val="24"/>
        </w:rPr>
        <w:t xml:space="preserve"> clinically a</w:t>
      </w:r>
      <w:r w:rsidRPr="004F71C6">
        <w:rPr>
          <w:rFonts w:ascii="Times New Roman" w:hAnsi="Times New Roman" w:cs="Times New Roman"/>
          <w:sz w:val="24"/>
        </w:rPr>
        <w:t xml:space="preserve">nd </w:t>
      </w:r>
      <w:proofErr w:type="spellStart"/>
      <w:r w:rsidRPr="004F71C6">
        <w:rPr>
          <w:rFonts w:ascii="Times New Roman" w:hAnsi="Times New Roman" w:cs="Times New Roman"/>
          <w:sz w:val="24"/>
        </w:rPr>
        <w:t>cephalometrically</w:t>
      </w:r>
      <w:proofErr w:type="spellEnd"/>
      <w:r w:rsidRPr="004F71C6">
        <w:rPr>
          <w:rFonts w:ascii="Times New Roman" w:hAnsi="Times New Roman" w:cs="Times New Roman"/>
          <w:sz w:val="24"/>
        </w:rPr>
        <w:t xml:space="preserve"> in </w:t>
      </w:r>
      <w:proofErr w:type="spellStart"/>
      <w:r w:rsidRPr="004F71C6">
        <w:rPr>
          <w:rFonts w:ascii="Times New Roman" w:hAnsi="Times New Roman" w:cs="Times New Roman"/>
          <w:sz w:val="24"/>
        </w:rPr>
        <w:t>Hyperdivergent</w:t>
      </w:r>
      <w:proofErr w:type="spellEnd"/>
      <w:r w:rsidR="004D19FC">
        <w:rPr>
          <w:rFonts w:ascii="Times New Roman" w:hAnsi="Times New Roman" w:cs="Times New Roman"/>
          <w:sz w:val="24"/>
        </w:rPr>
        <w:t xml:space="preserve"> </w:t>
      </w:r>
      <w:r w:rsidR="00EA34C9" w:rsidRPr="004F71C6">
        <w:rPr>
          <w:rFonts w:ascii="Times New Roman" w:hAnsi="Times New Roman" w:cs="Times New Roman"/>
          <w:b/>
          <w:bCs/>
          <w:sz w:val="24"/>
        </w:rPr>
        <w:t>(Table 3</w:t>
      </w:r>
      <w:r w:rsidR="00222910" w:rsidRPr="004F71C6">
        <w:rPr>
          <w:rFonts w:ascii="Times New Roman" w:hAnsi="Times New Roman" w:cs="Times New Roman"/>
          <w:b/>
          <w:bCs/>
          <w:sz w:val="24"/>
        </w:rPr>
        <w:t>)</w:t>
      </w:r>
      <w:r w:rsidR="00222910" w:rsidRPr="004F71C6">
        <w:rPr>
          <w:rFonts w:ascii="Times New Roman" w:hAnsi="Times New Roman" w:cs="Times New Roman"/>
          <w:sz w:val="24"/>
        </w:rPr>
        <w:t>.</w:t>
      </w:r>
    </w:p>
    <w:p w:rsidR="00445A85" w:rsidRPr="004F71C6" w:rsidRDefault="00EA34C9" w:rsidP="004F71C6">
      <w:pPr>
        <w:pStyle w:val="NoSpacing"/>
        <w:jc w:val="center"/>
        <w:rPr>
          <w:rFonts w:ascii="Times New Roman" w:hAnsi="Times New Roman" w:cs="Times New Roman"/>
          <w:b/>
          <w:sz w:val="24"/>
        </w:rPr>
      </w:pPr>
      <w:proofErr w:type="gramStart"/>
      <w:r w:rsidRPr="004F71C6">
        <w:rPr>
          <w:rFonts w:ascii="Times New Roman" w:hAnsi="Times New Roman" w:cs="Times New Roman"/>
          <w:b/>
          <w:sz w:val="24"/>
        </w:rPr>
        <w:t>Table 3</w:t>
      </w:r>
      <w:r w:rsidR="00304F14" w:rsidRPr="004F71C6">
        <w:rPr>
          <w:rFonts w:ascii="Times New Roman" w:hAnsi="Times New Roman" w:cs="Times New Roman"/>
          <w:b/>
          <w:sz w:val="24"/>
        </w:rPr>
        <w:t>.</w:t>
      </w:r>
      <w:proofErr w:type="gramEnd"/>
      <w:r w:rsidR="00304F14" w:rsidRPr="004F71C6">
        <w:rPr>
          <w:rFonts w:ascii="Times New Roman" w:hAnsi="Times New Roman" w:cs="Times New Roman"/>
          <w:b/>
          <w:sz w:val="24"/>
        </w:rPr>
        <w:t xml:space="preserve"> T test 11</w:t>
      </w:r>
      <w:proofErr w:type="gramStart"/>
      <w:r w:rsidR="00304F14" w:rsidRPr="004F71C6">
        <w:rPr>
          <w:rFonts w:ascii="Times New Roman" w:hAnsi="Times New Roman" w:cs="Times New Roman"/>
          <w:b/>
          <w:sz w:val="24"/>
        </w:rPr>
        <w:t>,16,41,46,clinical</w:t>
      </w:r>
      <w:proofErr w:type="gramEnd"/>
      <w:r w:rsidR="00304F14" w:rsidRPr="004F71C6">
        <w:rPr>
          <w:rFonts w:ascii="Times New Roman" w:hAnsi="Times New Roman" w:cs="Times New Roman"/>
          <w:b/>
          <w:sz w:val="24"/>
        </w:rPr>
        <w:t xml:space="preserve"> lower facial height and </w:t>
      </w:r>
      <w:proofErr w:type="spellStart"/>
      <w:r w:rsidR="00304F14" w:rsidRPr="004F71C6">
        <w:rPr>
          <w:rFonts w:ascii="Times New Roman" w:hAnsi="Times New Roman" w:cs="Times New Roman"/>
          <w:b/>
          <w:sz w:val="24"/>
        </w:rPr>
        <w:t>cephalometric</w:t>
      </w:r>
      <w:proofErr w:type="spellEnd"/>
      <w:r w:rsidR="00304F14" w:rsidRPr="004F71C6">
        <w:rPr>
          <w:rFonts w:ascii="Times New Roman" w:hAnsi="Times New Roman" w:cs="Times New Roman"/>
          <w:b/>
          <w:sz w:val="24"/>
        </w:rPr>
        <w:t xml:space="preserve"> lower facial height</w:t>
      </w:r>
    </w:p>
    <w:tbl>
      <w:tblPr>
        <w:tblStyle w:val="TableGrid"/>
        <w:tblW w:w="9630" w:type="dxa"/>
        <w:tblInd w:w="108" w:type="dxa"/>
        <w:tblLayout w:type="fixed"/>
        <w:tblLook w:val="04A0" w:firstRow="1" w:lastRow="0" w:firstColumn="1" w:lastColumn="0" w:noHBand="0" w:noVBand="1"/>
      </w:tblPr>
      <w:tblGrid>
        <w:gridCol w:w="3755"/>
        <w:gridCol w:w="1007"/>
        <w:gridCol w:w="1008"/>
        <w:gridCol w:w="916"/>
        <w:gridCol w:w="1007"/>
        <w:gridCol w:w="916"/>
        <w:gridCol w:w="1021"/>
      </w:tblGrid>
      <w:tr w:rsidR="006D0691" w:rsidTr="00024402">
        <w:trPr>
          <w:trHeight w:val="332"/>
        </w:trPr>
        <w:tc>
          <w:tcPr>
            <w:tcW w:w="3755" w:type="dxa"/>
          </w:tcPr>
          <w:p w:rsidR="006D0691" w:rsidRPr="002704D1" w:rsidRDefault="006D0691" w:rsidP="00985AE3">
            <w:pPr>
              <w:jc w:val="both"/>
              <w:rPr>
                <w:rFonts w:ascii="Times New Roman" w:hAnsi="Times New Roman" w:cs="Times New Roman"/>
                <w:szCs w:val="24"/>
              </w:rPr>
            </w:pPr>
          </w:p>
        </w:tc>
        <w:tc>
          <w:tcPr>
            <w:tcW w:w="2015" w:type="dxa"/>
            <w:gridSpan w:val="2"/>
          </w:tcPr>
          <w:p w:rsidR="006D0691" w:rsidRPr="002704D1" w:rsidRDefault="00F37873" w:rsidP="00024402">
            <w:pPr>
              <w:jc w:val="center"/>
              <w:rPr>
                <w:rFonts w:ascii="Times New Roman" w:hAnsi="Times New Roman" w:cs="Times New Roman"/>
                <w:szCs w:val="24"/>
              </w:rPr>
            </w:pPr>
            <w:proofErr w:type="spellStart"/>
            <w:r>
              <w:rPr>
                <w:rFonts w:ascii="Times New Roman" w:hAnsi="Times New Roman" w:cs="Times New Roman"/>
                <w:szCs w:val="24"/>
              </w:rPr>
              <w:t>Normodivergent</w:t>
            </w:r>
            <w:proofErr w:type="spellEnd"/>
          </w:p>
        </w:tc>
        <w:tc>
          <w:tcPr>
            <w:tcW w:w="1923" w:type="dxa"/>
            <w:gridSpan w:val="2"/>
          </w:tcPr>
          <w:p w:rsidR="006D0691" w:rsidRPr="002704D1" w:rsidRDefault="00F37873" w:rsidP="00024402">
            <w:pPr>
              <w:jc w:val="center"/>
              <w:rPr>
                <w:rFonts w:ascii="Times New Roman" w:hAnsi="Times New Roman" w:cs="Times New Roman"/>
                <w:szCs w:val="24"/>
              </w:rPr>
            </w:pPr>
            <w:proofErr w:type="spellStart"/>
            <w:r>
              <w:rPr>
                <w:rFonts w:ascii="Times New Roman" w:hAnsi="Times New Roman" w:cs="Times New Roman"/>
                <w:szCs w:val="24"/>
              </w:rPr>
              <w:t>Hypodivergent</w:t>
            </w:r>
            <w:r w:rsidR="006D0691" w:rsidRPr="002704D1">
              <w:rPr>
                <w:rFonts w:ascii="Times New Roman" w:hAnsi="Times New Roman" w:cs="Times New Roman"/>
                <w:szCs w:val="24"/>
              </w:rPr>
              <w:t>l</w:t>
            </w:r>
            <w:proofErr w:type="spellEnd"/>
          </w:p>
        </w:tc>
        <w:tc>
          <w:tcPr>
            <w:tcW w:w="1937" w:type="dxa"/>
            <w:gridSpan w:val="2"/>
          </w:tcPr>
          <w:p w:rsidR="006D0691" w:rsidRPr="002704D1" w:rsidRDefault="00F37873" w:rsidP="00024402">
            <w:pPr>
              <w:jc w:val="center"/>
              <w:rPr>
                <w:rFonts w:ascii="Times New Roman" w:hAnsi="Times New Roman" w:cs="Times New Roman"/>
                <w:szCs w:val="24"/>
              </w:rPr>
            </w:pPr>
            <w:proofErr w:type="spellStart"/>
            <w:r>
              <w:rPr>
                <w:rFonts w:ascii="Times New Roman" w:hAnsi="Times New Roman" w:cs="Times New Roman"/>
                <w:szCs w:val="24"/>
              </w:rPr>
              <w:t>Hyperdivergent</w:t>
            </w:r>
            <w:proofErr w:type="spellEnd"/>
          </w:p>
        </w:tc>
      </w:tr>
      <w:tr w:rsidR="00304F14" w:rsidTr="00024402">
        <w:trPr>
          <w:trHeight w:val="260"/>
        </w:trPr>
        <w:tc>
          <w:tcPr>
            <w:tcW w:w="3755" w:type="dxa"/>
          </w:tcPr>
          <w:p w:rsidR="006D0691" w:rsidRDefault="006D0691" w:rsidP="00985AE3">
            <w:pPr>
              <w:jc w:val="both"/>
              <w:rPr>
                <w:rFonts w:ascii="Times New Roman" w:hAnsi="Times New Roman" w:cs="Times New Roman"/>
                <w:szCs w:val="24"/>
              </w:rPr>
            </w:pPr>
          </w:p>
        </w:tc>
        <w:tc>
          <w:tcPr>
            <w:tcW w:w="1007"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t- value</w:t>
            </w:r>
          </w:p>
        </w:tc>
        <w:tc>
          <w:tcPr>
            <w:tcW w:w="1008"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P value</w:t>
            </w:r>
          </w:p>
        </w:tc>
        <w:tc>
          <w:tcPr>
            <w:tcW w:w="916"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t- value</w:t>
            </w:r>
          </w:p>
        </w:tc>
        <w:tc>
          <w:tcPr>
            <w:tcW w:w="1007"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P value</w:t>
            </w:r>
          </w:p>
        </w:tc>
        <w:tc>
          <w:tcPr>
            <w:tcW w:w="916"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t- value</w:t>
            </w:r>
          </w:p>
        </w:tc>
        <w:tc>
          <w:tcPr>
            <w:tcW w:w="1021"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P value</w:t>
            </w:r>
          </w:p>
        </w:tc>
      </w:tr>
      <w:tr w:rsidR="00304F14" w:rsidTr="00024402">
        <w:trPr>
          <w:trHeight w:val="260"/>
        </w:trPr>
        <w:tc>
          <w:tcPr>
            <w:tcW w:w="3755" w:type="dxa"/>
          </w:tcPr>
          <w:p w:rsidR="006D0691" w:rsidRPr="002704D1" w:rsidRDefault="006D0691" w:rsidP="00985AE3">
            <w:pPr>
              <w:jc w:val="both"/>
              <w:rPr>
                <w:rFonts w:ascii="Times New Roman" w:hAnsi="Times New Roman" w:cs="Times New Roman"/>
                <w:szCs w:val="24"/>
              </w:rPr>
            </w:pPr>
            <w:r>
              <w:rPr>
                <w:rFonts w:ascii="Times New Roman" w:hAnsi="Times New Roman" w:cs="Times New Roman"/>
                <w:szCs w:val="24"/>
              </w:rPr>
              <w:t>11</w:t>
            </w:r>
          </w:p>
        </w:tc>
        <w:tc>
          <w:tcPr>
            <w:tcW w:w="1007"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0.68</w:t>
            </w:r>
          </w:p>
        </w:tc>
        <w:tc>
          <w:tcPr>
            <w:tcW w:w="1008"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0.498</w:t>
            </w:r>
          </w:p>
        </w:tc>
        <w:tc>
          <w:tcPr>
            <w:tcW w:w="916"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1.74</w:t>
            </w:r>
          </w:p>
        </w:tc>
        <w:tc>
          <w:tcPr>
            <w:tcW w:w="1007"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0.088</w:t>
            </w:r>
          </w:p>
        </w:tc>
        <w:tc>
          <w:tcPr>
            <w:tcW w:w="916"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1.56</w:t>
            </w:r>
          </w:p>
        </w:tc>
        <w:tc>
          <w:tcPr>
            <w:tcW w:w="1021"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0.124</w:t>
            </w:r>
          </w:p>
        </w:tc>
      </w:tr>
      <w:tr w:rsidR="00304F14" w:rsidTr="00024402">
        <w:trPr>
          <w:trHeight w:val="260"/>
        </w:trPr>
        <w:tc>
          <w:tcPr>
            <w:tcW w:w="3755" w:type="dxa"/>
          </w:tcPr>
          <w:p w:rsidR="006D0691" w:rsidRPr="002704D1" w:rsidRDefault="006D0691" w:rsidP="00985AE3">
            <w:pPr>
              <w:jc w:val="both"/>
              <w:rPr>
                <w:rFonts w:ascii="Times New Roman" w:hAnsi="Times New Roman" w:cs="Times New Roman"/>
                <w:szCs w:val="24"/>
              </w:rPr>
            </w:pPr>
            <w:r>
              <w:rPr>
                <w:rFonts w:ascii="Times New Roman" w:hAnsi="Times New Roman" w:cs="Times New Roman"/>
                <w:szCs w:val="24"/>
              </w:rPr>
              <w:t>41</w:t>
            </w:r>
          </w:p>
        </w:tc>
        <w:tc>
          <w:tcPr>
            <w:tcW w:w="1007"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-1.06</w:t>
            </w:r>
          </w:p>
        </w:tc>
        <w:tc>
          <w:tcPr>
            <w:tcW w:w="1008"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0.295</w:t>
            </w:r>
          </w:p>
        </w:tc>
        <w:tc>
          <w:tcPr>
            <w:tcW w:w="916"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1.00</w:t>
            </w:r>
          </w:p>
        </w:tc>
        <w:tc>
          <w:tcPr>
            <w:tcW w:w="1007"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0.320</w:t>
            </w:r>
          </w:p>
        </w:tc>
        <w:tc>
          <w:tcPr>
            <w:tcW w:w="916"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-0.53</w:t>
            </w:r>
          </w:p>
        </w:tc>
        <w:tc>
          <w:tcPr>
            <w:tcW w:w="1021"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0.596</w:t>
            </w:r>
          </w:p>
        </w:tc>
      </w:tr>
      <w:tr w:rsidR="00304F14" w:rsidTr="00024402">
        <w:trPr>
          <w:trHeight w:val="260"/>
        </w:trPr>
        <w:tc>
          <w:tcPr>
            <w:tcW w:w="3755" w:type="dxa"/>
          </w:tcPr>
          <w:p w:rsidR="006D0691" w:rsidRDefault="006D0691" w:rsidP="00985AE3">
            <w:pPr>
              <w:jc w:val="both"/>
              <w:rPr>
                <w:rFonts w:ascii="Times New Roman" w:hAnsi="Times New Roman" w:cs="Times New Roman"/>
                <w:szCs w:val="24"/>
              </w:rPr>
            </w:pPr>
            <w:r>
              <w:rPr>
                <w:rFonts w:ascii="Times New Roman" w:hAnsi="Times New Roman" w:cs="Times New Roman"/>
                <w:szCs w:val="24"/>
              </w:rPr>
              <w:t>16</w:t>
            </w:r>
          </w:p>
        </w:tc>
        <w:tc>
          <w:tcPr>
            <w:tcW w:w="1007"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3.01</w:t>
            </w:r>
          </w:p>
        </w:tc>
        <w:tc>
          <w:tcPr>
            <w:tcW w:w="1008"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0.004</w:t>
            </w:r>
            <w:r w:rsidR="00552CE6">
              <w:rPr>
                <w:rFonts w:ascii="Times New Roman" w:hAnsi="Times New Roman" w:cs="Times New Roman"/>
                <w:szCs w:val="24"/>
              </w:rPr>
              <w:t>*</w:t>
            </w:r>
            <w:r w:rsidR="00584AFF">
              <w:rPr>
                <w:rFonts w:ascii="Times New Roman" w:hAnsi="Times New Roman" w:cs="Times New Roman"/>
                <w:szCs w:val="24"/>
              </w:rPr>
              <w:t>*</w:t>
            </w:r>
          </w:p>
        </w:tc>
        <w:tc>
          <w:tcPr>
            <w:tcW w:w="916"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1.71</w:t>
            </w:r>
          </w:p>
        </w:tc>
        <w:tc>
          <w:tcPr>
            <w:tcW w:w="1007"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0.092</w:t>
            </w:r>
          </w:p>
        </w:tc>
        <w:tc>
          <w:tcPr>
            <w:tcW w:w="916"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0.76</w:t>
            </w:r>
          </w:p>
        </w:tc>
        <w:tc>
          <w:tcPr>
            <w:tcW w:w="1021"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0.451</w:t>
            </w:r>
          </w:p>
        </w:tc>
      </w:tr>
      <w:tr w:rsidR="00304F14" w:rsidTr="00024402">
        <w:trPr>
          <w:trHeight w:val="260"/>
        </w:trPr>
        <w:tc>
          <w:tcPr>
            <w:tcW w:w="3755" w:type="dxa"/>
          </w:tcPr>
          <w:p w:rsidR="006D0691" w:rsidRDefault="006D0691" w:rsidP="00985AE3">
            <w:pPr>
              <w:jc w:val="both"/>
              <w:rPr>
                <w:rFonts w:ascii="Times New Roman" w:hAnsi="Times New Roman" w:cs="Times New Roman"/>
                <w:szCs w:val="24"/>
              </w:rPr>
            </w:pPr>
            <w:r>
              <w:rPr>
                <w:rFonts w:ascii="Times New Roman" w:hAnsi="Times New Roman" w:cs="Times New Roman"/>
                <w:szCs w:val="24"/>
              </w:rPr>
              <w:t>46</w:t>
            </w:r>
          </w:p>
        </w:tc>
        <w:tc>
          <w:tcPr>
            <w:tcW w:w="1007"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-0.10</w:t>
            </w:r>
          </w:p>
        </w:tc>
        <w:tc>
          <w:tcPr>
            <w:tcW w:w="1008"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0.924</w:t>
            </w:r>
          </w:p>
        </w:tc>
        <w:tc>
          <w:tcPr>
            <w:tcW w:w="916"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0.47</w:t>
            </w:r>
          </w:p>
        </w:tc>
        <w:tc>
          <w:tcPr>
            <w:tcW w:w="1007"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0.642</w:t>
            </w:r>
          </w:p>
        </w:tc>
        <w:tc>
          <w:tcPr>
            <w:tcW w:w="916"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0.50</w:t>
            </w:r>
          </w:p>
        </w:tc>
        <w:tc>
          <w:tcPr>
            <w:tcW w:w="1021"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0.619</w:t>
            </w:r>
          </w:p>
        </w:tc>
      </w:tr>
      <w:tr w:rsidR="00304F14" w:rsidTr="00024402">
        <w:trPr>
          <w:trHeight w:val="260"/>
        </w:trPr>
        <w:tc>
          <w:tcPr>
            <w:tcW w:w="3755" w:type="dxa"/>
          </w:tcPr>
          <w:p w:rsidR="006D0691" w:rsidRDefault="006D0691" w:rsidP="00985AE3">
            <w:pPr>
              <w:jc w:val="both"/>
              <w:rPr>
                <w:rFonts w:ascii="Times New Roman" w:hAnsi="Times New Roman" w:cs="Times New Roman"/>
                <w:szCs w:val="24"/>
              </w:rPr>
            </w:pPr>
            <w:r>
              <w:rPr>
                <w:rFonts w:ascii="Times New Roman" w:hAnsi="Times New Roman" w:cs="Times New Roman"/>
                <w:szCs w:val="24"/>
              </w:rPr>
              <w:t>Clinical lower facial height</w:t>
            </w:r>
          </w:p>
        </w:tc>
        <w:tc>
          <w:tcPr>
            <w:tcW w:w="1007"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1.03</w:t>
            </w:r>
          </w:p>
        </w:tc>
        <w:tc>
          <w:tcPr>
            <w:tcW w:w="1008"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0.306</w:t>
            </w:r>
          </w:p>
        </w:tc>
        <w:tc>
          <w:tcPr>
            <w:tcW w:w="916"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0.49</w:t>
            </w:r>
          </w:p>
        </w:tc>
        <w:tc>
          <w:tcPr>
            <w:tcW w:w="1007"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0.628</w:t>
            </w:r>
          </w:p>
        </w:tc>
        <w:tc>
          <w:tcPr>
            <w:tcW w:w="916"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3.75</w:t>
            </w:r>
          </w:p>
        </w:tc>
        <w:tc>
          <w:tcPr>
            <w:tcW w:w="1021"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0.000</w:t>
            </w:r>
            <w:r w:rsidR="00552CE6">
              <w:rPr>
                <w:rFonts w:ascii="Times New Roman" w:hAnsi="Times New Roman" w:cs="Times New Roman"/>
                <w:szCs w:val="24"/>
              </w:rPr>
              <w:t>*</w:t>
            </w:r>
            <w:r w:rsidR="00AB0232">
              <w:rPr>
                <w:rFonts w:ascii="Times New Roman" w:hAnsi="Times New Roman" w:cs="Times New Roman"/>
                <w:szCs w:val="24"/>
              </w:rPr>
              <w:t>*</w:t>
            </w:r>
          </w:p>
        </w:tc>
      </w:tr>
      <w:tr w:rsidR="00304F14" w:rsidTr="00024402">
        <w:trPr>
          <w:trHeight w:val="260"/>
        </w:trPr>
        <w:tc>
          <w:tcPr>
            <w:tcW w:w="3755" w:type="dxa"/>
          </w:tcPr>
          <w:p w:rsidR="006D0691" w:rsidRDefault="006D0691" w:rsidP="00985AE3">
            <w:pPr>
              <w:jc w:val="both"/>
              <w:rPr>
                <w:rFonts w:ascii="Times New Roman" w:hAnsi="Times New Roman" w:cs="Times New Roman"/>
                <w:szCs w:val="24"/>
              </w:rPr>
            </w:pPr>
            <w:proofErr w:type="spellStart"/>
            <w:r>
              <w:rPr>
                <w:rFonts w:ascii="Times New Roman" w:hAnsi="Times New Roman" w:cs="Times New Roman"/>
                <w:szCs w:val="24"/>
              </w:rPr>
              <w:t>Cephalometric</w:t>
            </w:r>
            <w:proofErr w:type="spellEnd"/>
            <w:r>
              <w:rPr>
                <w:rFonts w:ascii="Times New Roman" w:hAnsi="Times New Roman" w:cs="Times New Roman"/>
                <w:szCs w:val="24"/>
              </w:rPr>
              <w:t xml:space="preserve"> lower facial height</w:t>
            </w:r>
          </w:p>
        </w:tc>
        <w:tc>
          <w:tcPr>
            <w:tcW w:w="1007"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1.58</w:t>
            </w:r>
          </w:p>
        </w:tc>
        <w:tc>
          <w:tcPr>
            <w:tcW w:w="1008"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0.120</w:t>
            </w:r>
          </w:p>
        </w:tc>
        <w:tc>
          <w:tcPr>
            <w:tcW w:w="916"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0.46</w:t>
            </w:r>
          </w:p>
        </w:tc>
        <w:tc>
          <w:tcPr>
            <w:tcW w:w="1007"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0.647</w:t>
            </w:r>
          </w:p>
        </w:tc>
        <w:tc>
          <w:tcPr>
            <w:tcW w:w="916"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3.21</w:t>
            </w:r>
          </w:p>
        </w:tc>
        <w:tc>
          <w:tcPr>
            <w:tcW w:w="1021" w:type="dxa"/>
          </w:tcPr>
          <w:p w:rsidR="006D0691" w:rsidRPr="002704D1" w:rsidRDefault="006D0691" w:rsidP="00024402">
            <w:pPr>
              <w:jc w:val="center"/>
              <w:rPr>
                <w:rFonts w:ascii="Times New Roman" w:hAnsi="Times New Roman" w:cs="Times New Roman"/>
                <w:szCs w:val="24"/>
              </w:rPr>
            </w:pPr>
            <w:r>
              <w:rPr>
                <w:rFonts w:ascii="Times New Roman" w:hAnsi="Times New Roman" w:cs="Times New Roman"/>
                <w:szCs w:val="24"/>
              </w:rPr>
              <w:t>0.002</w:t>
            </w:r>
            <w:r w:rsidR="00552CE6">
              <w:rPr>
                <w:rFonts w:ascii="Times New Roman" w:hAnsi="Times New Roman" w:cs="Times New Roman"/>
                <w:szCs w:val="24"/>
              </w:rPr>
              <w:t>*</w:t>
            </w:r>
            <w:r w:rsidR="00584AFF">
              <w:rPr>
                <w:rFonts w:ascii="Times New Roman" w:hAnsi="Times New Roman" w:cs="Times New Roman"/>
                <w:szCs w:val="24"/>
              </w:rPr>
              <w:t>*</w:t>
            </w:r>
          </w:p>
        </w:tc>
      </w:tr>
    </w:tbl>
    <w:p w:rsidR="00024402" w:rsidRDefault="00C318F8" w:rsidP="00024402">
      <w:pPr>
        <w:pStyle w:val="NoSpacing"/>
        <w:jc w:val="center"/>
      </w:pPr>
      <w:r>
        <w:t xml:space="preserve">P&gt;0.05 (NS); P&lt;0.05 (S); </w:t>
      </w:r>
      <w:r w:rsidR="00584AFF">
        <w:t>P&lt;0.0</w:t>
      </w:r>
      <w:r>
        <w:t>1 (HS)</w:t>
      </w:r>
    </w:p>
    <w:p w:rsidR="00314796" w:rsidRPr="00024402" w:rsidRDefault="00D13BD1" w:rsidP="00024402">
      <w:pPr>
        <w:pStyle w:val="NoSpacing"/>
        <w:jc w:val="both"/>
      </w:pPr>
      <w:r>
        <w:rPr>
          <w:rFonts w:ascii="Times New Roman" w:hAnsi="Times New Roman" w:cs="Times New Roman"/>
          <w:sz w:val="24"/>
          <w:szCs w:val="18"/>
        </w:rPr>
        <w:t>No</w:t>
      </w:r>
      <w:r w:rsidR="008D13B4">
        <w:rPr>
          <w:rFonts w:ascii="Times New Roman" w:hAnsi="Times New Roman" w:cs="Times New Roman"/>
          <w:sz w:val="24"/>
          <w:szCs w:val="18"/>
        </w:rPr>
        <w:t>t</w:t>
      </w:r>
      <w:r w:rsidR="00024402">
        <w:rPr>
          <w:rFonts w:ascii="Times New Roman" w:hAnsi="Times New Roman" w:cs="Times New Roman"/>
          <w:sz w:val="24"/>
          <w:szCs w:val="18"/>
        </w:rPr>
        <w:t xml:space="preserve"> </w:t>
      </w:r>
      <w:r>
        <w:rPr>
          <w:rFonts w:ascii="Times New Roman" w:hAnsi="Times New Roman" w:cs="Times New Roman"/>
          <w:sz w:val="24"/>
          <w:szCs w:val="18"/>
        </w:rPr>
        <w:t>statistical</w:t>
      </w:r>
      <w:r w:rsidR="008D13B4">
        <w:rPr>
          <w:rFonts w:ascii="Times New Roman" w:hAnsi="Times New Roman" w:cs="Times New Roman"/>
          <w:sz w:val="24"/>
          <w:szCs w:val="18"/>
        </w:rPr>
        <w:t>ly</w:t>
      </w:r>
      <w:r>
        <w:rPr>
          <w:rFonts w:ascii="Times New Roman" w:hAnsi="Times New Roman" w:cs="Times New Roman"/>
          <w:sz w:val="24"/>
          <w:szCs w:val="18"/>
        </w:rPr>
        <w:t xml:space="preserve"> significant was observed </w:t>
      </w:r>
      <w:r w:rsidR="008D13B4">
        <w:rPr>
          <w:rFonts w:ascii="Times New Roman" w:hAnsi="Times New Roman" w:cs="Times New Roman"/>
          <w:sz w:val="24"/>
          <w:szCs w:val="18"/>
        </w:rPr>
        <w:t xml:space="preserve">on </w:t>
      </w:r>
      <w:r w:rsidR="00693CC0">
        <w:rPr>
          <w:rFonts w:ascii="Times New Roman" w:hAnsi="Times New Roman" w:cs="Times New Roman"/>
          <w:sz w:val="24"/>
          <w:szCs w:val="18"/>
        </w:rPr>
        <w:t>comparison between clinical</w:t>
      </w:r>
      <w:r>
        <w:rPr>
          <w:rFonts w:ascii="Times New Roman" w:hAnsi="Times New Roman" w:cs="Times New Roman"/>
          <w:sz w:val="24"/>
          <w:szCs w:val="18"/>
        </w:rPr>
        <w:t xml:space="preserve"> lower facial</w:t>
      </w:r>
      <w:r w:rsidR="00693CC0">
        <w:rPr>
          <w:rFonts w:ascii="Times New Roman" w:hAnsi="Times New Roman" w:cs="Times New Roman"/>
          <w:sz w:val="24"/>
          <w:szCs w:val="18"/>
        </w:rPr>
        <w:t xml:space="preserve"> and </w:t>
      </w:r>
      <w:proofErr w:type="spellStart"/>
      <w:r w:rsidR="00693CC0">
        <w:rPr>
          <w:rFonts w:ascii="Times New Roman" w:hAnsi="Times New Roman" w:cs="Times New Roman"/>
          <w:sz w:val="24"/>
          <w:szCs w:val="18"/>
        </w:rPr>
        <w:t>cephalometric</w:t>
      </w:r>
      <w:proofErr w:type="spellEnd"/>
      <w:r w:rsidR="00693CC0">
        <w:rPr>
          <w:rFonts w:ascii="Times New Roman" w:hAnsi="Times New Roman" w:cs="Times New Roman"/>
          <w:sz w:val="24"/>
          <w:szCs w:val="18"/>
        </w:rPr>
        <w:t xml:space="preserve"> lower facial height in male and female</w:t>
      </w:r>
      <w:r w:rsidR="004D19FC">
        <w:rPr>
          <w:rFonts w:ascii="Times New Roman" w:hAnsi="Times New Roman" w:cs="Times New Roman"/>
          <w:sz w:val="24"/>
          <w:szCs w:val="18"/>
        </w:rPr>
        <w:t xml:space="preserve"> </w:t>
      </w:r>
      <w:r w:rsidR="00EA34C9">
        <w:rPr>
          <w:rFonts w:ascii="Times New Roman" w:hAnsi="Times New Roman" w:cs="Times New Roman"/>
          <w:b/>
          <w:sz w:val="24"/>
          <w:szCs w:val="18"/>
        </w:rPr>
        <w:t>(Table 4</w:t>
      </w:r>
      <w:r w:rsidR="00693CC0" w:rsidRPr="00693CC0">
        <w:rPr>
          <w:rFonts w:ascii="Times New Roman" w:hAnsi="Times New Roman" w:cs="Times New Roman"/>
          <w:b/>
          <w:sz w:val="24"/>
          <w:szCs w:val="18"/>
        </w:rPr>
        <w:t>).</w:t>
      </w:r>
    </w:p>
    <w:p w:rsidR="00693CC0" w:rsidRPr="00693CC0" w:rsidRDefault="00EA34C9" w:rsidP="00024402">
      <w:pPr>
        <w:pStyle w:val="NoSpacing"/>
        <w:jc w:val="center"/>
        <w:rPr>
          <w:rFonts w:ascii="Times New Roman" w:hAnsi="Times New Roman" w:cs="Times New Roman"/>
          <w:b/>
          <w:sz w:val="24"/>
          <w:szCs w:val="18"/>
        </w:rPr>
      </w:pPr>
      <w:proofErr w:type="gramStart"/>
      <w:r>
        <w:rPr>
          <w:rFonts w:ascii="Times New Roman" w:hAnsi="Times New Roman" w:cs="Times New Roman"/>
          <w:b/>
          <w:sz w:val="24"/>
          <w:szCs w:val="18"/>
        </w:rPr>
        <w:t>Table 4</w:t>
      </w:r>
      <w:r w:rsidR="00693CC0">
        <w:rPr>
          <w:rFonts w:ascii="Times New Roman" w:hAnsi="Times New Roman" w:cs="Times New Roman"/>
          <w:b/>
          <w:sz w:val="24"/>
          <w:szCs w:val="18"/>
        </w:rPr>
        <w:t>.</w:t>
      </w:r>
      <w:proofErr w:type="gramEnd"/>
      <w:r w:rsidR="00693CC0">
        <w:rPr>
          <w:rFonts w:ascii="Times New Roman" w:hAnsi="Times New Roman" w:cs="Times New Roman"/>
          <w:b/>
          <w:sz w:val="24"/>
          <w:szCs w:val="18"/>
        </w:rPr>
        <w:t xml:space="preserve"> </w:t>
      </w:r>
      <w:proofErr w:type="gramStart"/>
      <w:r w:rsidR="00693CC0">
        <w:rPr>
          <w:rFonts w:ascii="Times New Roman" w:hAnsi="Times New Roman" w:cs="Times New Roman"/>
          <w:b/>
          <w:sz w:val="24"/>
          <w:szCs w:val="18"/>
        </w:rPr>
        <w:t>comparison</w:t>
      </w:r>
      <w:proofErr w:type="gramEnd"/>
      <w:r w:rsidR="00693CC0">
        <w:rPr>
          <w:rFonts w:ascii="Times New Roman" w:hAnsi="Times New Roman" w:cs="Times New Roman"/>
          <w:b/>
          <w:sz w:val="24"/>
          <w:szCs w:val="18"/>
        </w:rPr>
        <w:t xml:space="preserve"> between clinical lower facial height and </w:t>
      </w:r>
      <w:proofErr w:type="spellStart"/>
      <w:r w:rsidR="00693CC0">
        <w:rPr>
          <w:rFonts w:ascii="Times New Roman" w:hAnsi="Times New Roman" w:cs="Times New Roman"/>
          <w:b/>
          <w:sz w:val="24"/>
          <w:szCs w:val="18"/>
        </w:rPr>
        <w:t>cephalometric</w:t>
      </w:r>
      <w:proofErr w:type="spellEnd"/>
      <w:r w:rsidR="00693CC0">
        <w:rPr>
          <w:rFonts w:ascii="Times New Roman" w:hAnsi="Times New Roman" w:cs="Times New Roman"/>
          <w:b/>
          <w:sz w:val="24"/>
          <w:szCs w:val="18"/>
        </w:rPr>
        <w:t xml:space="preserve"> lower facial height in male and female</w:t>
      </w:r>
    </w:p>
    <w:tbl>
      <w:tblPr>
        <w:tblW w:w="7518"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0"/>
        <w:gridCol w:w="1044"/>
        <w:gridCol w:w="1144"/>
        <w:gridCol w:w="1047"/>
        <w:gridCol w:w="1153"/>
      </w:tblGrid>
      <w:tr w:rsidR="00314796" w:rsidTr="00314796">
        <w:trPr>
          <w:trHeight w:val="244"/>
        </w:trPr>
        <w:tc>
          <w:tcPr>
            <w:tcW w:w="3130" w:type="dxa"/>
            <w:vMerge w:val="restart"/>
            <w:shd w:val="clear" w:color="auto" w:fill="auto"/>
          </w:tcPr>
          <w:p w:rsidR="00314796" w:rsidRDefault="00314796" w:rsidP="00314796">
            <w:pPr>
              <w:pStyle w:val="NoSpacing"/>
            </w:pPr>
            <w:r>
              <w:t xml:space="preserve">Clinically and </w:t>
            </w:r>
            <w:proofErr w:type="spellStart"/>
            <w:r>
              <w:t>cephalometrically</w:t>
            </w:r>
            <w:proofErr w:type="spellEnd"/>
            <w:r>
              <w:t xml:space="preserve"> lower facial height</w:t>
            </w:r>
          </w:p>
        </w:tc>
        <w:tc>
          <w:tcPr>
            <w:tcW w:w="2188" w:type="dxa"/>
            <w:gridSpan w:val="2"/>
          </w:tcPr>
          <w:p w:rsidR="00314796" w:rsidRDefault="00314796" w:rsidP="00024402">
            <w:pPr>
              <w:pStyle w:val="NoSpacing"/>
              <w:jc w:val="center"/>
            </w:pPr>
            <w:r>
              <w:t>Female</w:t>
            </w:r>
          </w:p>
        </w:tc>
        <w:tc>
          <w:tcPr>
            <w:tcW w:w="2200" w:type="dxa"/>
            <w:gridSpan w:val="2"/>
            <w:shd w:val="clear" w:color="auto" w:fill="auto"/>
          </w:tcPr>
          <w:p w:rsidR="00314796" w:rsidRDefault="003C02A7" w:rsidP="00024402">
            <w:pPr>
              <w:pStyle w:val="NoSpacing"/>
              <w:jc w:val="center"/>
            </w:pPr>
            <w:r>
              <w:t>M</w:t>
            </w:r>
            <w:r w:rsidR="00314796">
              <w:t>ale</w:t>
            </w:r>
          </w:p>
        </w:tc>
      </w:tr>
      <w:tr w:rsidR="00314796" w:rsidTr="00314796">
        <w:trPr>
          <w:trHeight w:val="197"/>
        </w:trPr>
        <w:tc>
          <w:tcPr>
            <w:tcW w:w="3130" w:type="dxa"/>
            <w:vMerge/>
            <w:shd w:val="clear" w:color="auto" w:fill="auto"/>
          </w:tcPr>
          <w:p w:rsidR="00314796" w:rsidRDefault="00314796" w:rsidP="00314796">
            <w:pPr>
              <w:pStyle w:val="NoSpacing"/>
            </w:pPr>
          </w:p>
        </w:tc>
        <w:tc>
          <w:tcPr>
            <w:tcW w:w="1044" w:type="dxa"/>
          </w:tcPr>
          <w:p w:rsidR="00314796" w:rsidRDefault="00314796" w:rsidP="00024402">
            <w:pPr>
              <w:pStyle w:val="NoSpacing"/>
              <w:jc w:val="center"/>
            </w:pPr>
            <w:r>
              <w:t>t- value</w:t>
            </w:r>
          </w:p>
        </w:tc>
        <w:tc>
          <w:tcPr>
            <w:tcW w:w="1144" w:type="dxa"/>
          </w:tcPr>
          <w:p w:rsidR="00314796" w:rsidRDefault="00024402" w:rsidP="00024402">
            <w:pPr>
              <w:pStyle w:val="NoSpacing"/>
              <w:jc w:val="center"/>
            </w:pPr>
            <w:r>
              <w:t>p-</w:t>
            </w:r>
            <w:r w:rsidR="00314796">
              <w:t>value</w:t>
            </w:r>
          </w:p>
        </w:tc>
        <w:tc>
          <w:tcPr>
            <w:tcW w:w="1047" w:type="dxa"/>
            <w:shd w:val="clear" w:color="auto" w:fill="auto"/>
          </w:tcPr>
          <w:p w:rsidR="00314796" w:rsidRDefault="00314796" w:rsidP="00024402">
            <w:pPr>
              <w:pStyle w:val="NoSpacing"/>
              <w:jc w:val="center"/>
            </w:pPr>
            <w:r>
              <w:t>t- value</w:t>
            </w:r>
          </w:p>
        </w:tc>
        <w:tc>
          <w:tcPr>
            <w:tcW w:w="1153" w:type="dxa"/>
            <w:shd w:val="clear" w:color="auto" w:fill="auto"/>
          </w:tcPr>
          <w:p w:rsidR="00314796" w:rsidRDefault="00024402" w:rsidP="00024402">
            <w:pPr>
              <w:pStyle w:val="NoSpacing"/>
              <w:jc w:val="center"/>
            </w:pPr>
            <w:r>
              <w:t>p-</w:t>
            </w:r>
            <w:r w:rsidR="00314796">
              <w:t>value</w:t>
            </w:r>
          </w:p>
        </w:tc>
      </w:tr>
      <w:tr w:rsidR="00314796" w:rsidRPr="0006205B" w:rsidTr="00314796">
        <w:tblPrEx>
          <w:tblLook w:val="04A0" w:firstRow="1" w:lastRow="0" w:firstColumn="1" w:lastColumn="0" w:noHBand="0" w:noVBand="1"/>
        </w:tblPrEx>
        <w:trPr>
          <w:trHeight w:val="279"/>
        </w:trPr>
        <w:tc>
          <w:tcPr>
            <w:tcW w:w="3130" w:type="dxa"/>
            <w:shd w:val="clear" w:color="auto" w:fill="auto"/>
            <w:noWrap/>
            <w:vAlign w:val="bottom"/>
            <w:hideMark/>
          </w:tcPr>
          <w:p w:rsidR="00314796" w:rsidRPr="0006205B" w:rsidRDefault="00314796" w:rsidP="00314796">
            <w:pPr>
              <w:pStyle w:val="NoSpacing"/>
              <w:rPr>
                <w:rFonts w:ascii="Calibri" w:eastAsia="Times New Roman" w:hAnsi="Calibri" w:cs="Calibri"/>
                <w:color w:val="000000"/>
              </w:rPr>
            </w:pPr>
            <w:proofErr w:type="spellStart"/>
            <w:r>
              <w:t>Normodivergent</w:t>
            </w:r>
            <w:proofErr w:type="spellEnd"/>
          </w:p>
        </w:tc>
        <w:tc>
          <w:tcPr>
            <w:tcW w:w="1044" w:type="dxa"/>
            <w:shd w:val="clear" w:color="auto" w:fill="auto"/>
            <w:noWrap/>
            <w:vAlign w:val="bottom"/>
            <w:hideMark/>
          </w:tcPr>
          <w:p w:rsidR="00314796" w:rsidRPr="0006205B" w:rsidRDefault="00314796" w:rsidP="00024402">
            <w:pPr>
              <w:pStyle w:val="NoSpacing"/>
              <w:jc w:val="center"/>
              <w:rPr>
                <w:rFonts w:ascii="Calibri" w:eastAsia="Times New Roman" w:hAnsi="Calibri" w:cs="Calibri"/>
                <w:color w:val="000000"/>
              </w:rPr>
            </w:pPr>
            <w:r w:rsidRPr="0006205B">
              <w:rPr>
                <w:rFonts w:ascii="Calibri" w:eastAsia="Times New Roman" w:hAnsi="Calibri" w:cs="Calibri"/>
                <w:color w:val="000000"/>
              </w:rPr>
              <w:t>0.48</w:t>
            </w:r>
          </w:p>
        </w:tc>
        <w:tc>
          <w:tcPr>
            <w:tcW w:w="1144" w:type="dxa"/>
            <w:shd w:val="clear" w:color="auto" w:fill="auto"/>
            <w:vAlign w:val="bottom"/>
          </w:tcPr>
          <w:p w:rsidR="00314796" w:rsidRPr="0006205B" w:rsidRDefault="00314796" w:rsidP="00024402">
            <w:pPr>
              <w:pStyle w:val="NoSpacing"/>
              <w:jc w:val="center"/>
              <w:rPr>
                <w:rFonts w:ascii="Calibri" w:eastAsia="Times New Roman" w:hAnsi="Calibri" w:cs="Calibri"/>
                <w:color w:val="000000"/>
              </w:rPr>
            </w:pPr>
            <w:r w:rsidRPr="0006205B">
              <w:rPr>
                <w:rFonts w:ascii="Calibri" w:eastAsia="Times New Roman" w:hAnsi="Calibri" w:cs="Calibri"/>
                <w:color w:val="000000"/>
              </w:rPr>
              <w:t>0.631</w:t>
            </w:r>
          </w:p>
        </w:tc>
        <w:tc>
          <w:tcPr>
            <w:tcW w:w="1047" w:type="dxa"/>
            <w:shd w:val="clear" w:color="auto" w:fill="auto"/>
            <w:noWrap/>
            <w:vAlign w:val="bottom"/>
          </w:tcPr>
          <w:p w:rsidR="00314796" w:rsidRPr="0006205B" w:rsidRDefault="00314796" w:rsidP="00024402">
            <w:pPr>
              <w:pStyle w:val="NoSpacing"/>
              <w:jc w:val="center"/>
              <w:rPr>
                <w:rFonts w:ascii="Calibri" w:eastAsia="Times New Roman" w:hAnsi="Calibri" w:cs="Calibri"/>
                <w:color w:val="000000"/>
              </w:rPr>
            </w:pPr>
            <w:r w:rsidRPr="0006205B">
              <w:rPr>
                <w:rFonts w:ascii="Calibri" w:eastAsia="Times New Roman" w:hAnsi="Calibri" w:cs="Calibri"/>
                <w:color w:val="000000"/>
              </w:rPr>
              <w:t>1.25</w:t>
            </w:r>
          </w:p>
        </w:tc>
        <w:tc>
          <w:tcPr>
            <w:tcW w:w="1153" w:type="dxa"/>
            <w:shd w:val="clear" w:color="auto" w:fill="auto"/>
            <w:vAlign w:val="bottom"/>
          </w:tcPr>
          <w:p w:rsidR="00314796" w:rsidRPr="0006205B" w:rsidRDefault="00314796" w:rsidP="00024402">
            <w:pPr>
              <w:pStyle w:val="NoSpacing"/>
              <w:jc w:val="center"/>
              <w:rPr>
                <w:rFonts w:ascii="Calibri" w:eastAsia="Times New Roman" w:hAnsi="Calibri" w:cs="Calibri"/>
                <w:color w:val="000000"/>
              </w:rPr>
            </w:pPr>
            <w:r w:rsidRPr="0006205B">
              <w:rPr>
                <w:rFonts w:ascii="Calibri" w:eastAsia="Times New Roman" w:hAnsi="Calibri" w:cs="Calibri"/>
                <w:color w:val="000000"/>
              </w:rPr>
              <w:t>0.218</w:t>
            </w:r>
          </w:p>
        </w:tc>
      </w:tr>
      <w:tr w:rsidR="00314796" w:rsidRPr="0006205B" w:rsidTr="00314796">
        <w:tblPrEx>
          <w:tblLook w:val="04A0" w:firstRow="1" w:lastRow="0" w:firstColumn="1" w:lastColumn="0" w:noHBand="0" w:noVBand="1"/>
        </w:tblPrEx>
        <w:trPr>
          <w:trHeight w:val="279"/>
        </w:trPr>
        <w:tc>
          <w:tcPr>
            <w:tcW w:w="3130" w:type="dxa"/>
            <w:shd w:val="clear" w:color="auto" w:fill="auto"/>
            <w:noWrap/>
            <w:vAlign w:val="bottom"/>
            <w:hideMark/>
          </w:tcPr>
          <w:p w:rsidR="00314796" w:rsidRPr="0006205B" w:rsidRDefault="00314796" w:rsidP="00314796">
            <w:pPr>
              <w:pStyle w:val="NoSpacing"/>
              <w:rPr>
                <w:rFonts w:ascii="Calibri" w:eastAsia="Times New Roman" w:hAnsi="Calibri" w:cs="Calibri"/>
                <w:color w:val="000000"/>
              </w:rPr>
            </w:pPr>
            <w:proofErr w:type="spellStart"/>
            <w:r>
              <w:t>Hypodivergent</w:t>
            </w:r>
            <w:proofErr w:type="spellEnd"/>
          </w:p>
        </w:tc>
        <w:tc>
          <w:tcPr>
            <w:tcW w:w="1044" w:type="dxa"/>
            <w:shd w:val="clear" w:color="auto" w:fill="auto"/>
            <w:noWrap/>
            <w:vAlign w:val="bottom"/>
            <w:hideMark/>
          </w:tcPr>
          <w:p w:rsidR="00314796" w:rsidRPr="0006205B" w:rsidRDefault="00314796" w:rsidP="00024402">
            <w:pPr>
              <w:pStyle w:val="NoSpacing"/>
              <w:jc w:val="center"/>
              <w:rPr>
                <w:rFonts w:ascii="Calibri" w:eastAsia="Times New Roman" w:hAnsi="Calibri" w:cs="Calibri"/>
                <w:color w:val="000000"/>
              </w:rPr>
            </w:pPr>
            <w:r w:rsidRPr="0006205B">
              <w:rPr>
                <w:rFonts w:ascii="Calibri" w:eastAsia="Times New Roman" w:hAnsi="Calibri" w:cs="Calibri"/>
                <w:color w:val="000000"/>
              </w:rPr>
              <w:t>0.88</w:t>
            </w:r>
          </w:p>
        </w:tc>
        <w:tc>
          <w:tcPr>
            <w:tcW w:w="1144" w:type="dxa"/>
            <w:shd w:val="clear" w:color="auto" w:fill="auto"/>
            <w:vAlign w:val="bottom"/>
          </w:tcPr>
          <w:p w:rsidR="00314796" w:rsidRPr="0006205B" w:rsidRDefault="00314796" w:rsidP="00024402">
            <w:pPr>
              <w:pStyle w:val="NoSpacing"/>
              <w:jc w:val="center"/>
              <w:rPr>
                <w:rFonts w:ascii="Calibri" w:eastAsia="Times New Roman" w:hAnsi="Calibri" w:cs="Calibri"/>
                <w:color w:val="000000"/>
              </w:rPr>
            </w:pPr>
            <w:r w:rsidRPr="0006205B">
              <w:rPr>
                <w:rFonts w:ascii="Calibri" w:eastAsia="Times New Roman" w:hAnsi="Calibri" w:cs="Calibri"/>
                <w:color w:val="000000"/>
              </w:rPr>
              <w:t>0.381</w:t>
            </w:r>
          </w:p>
        </w:tc>
        <w:tc>
          <w:tcPr>
            <w:tcW w:w="1047" w:type="dxa"/>
            <w:shd w:val="clear" w:color="auto" w:fill="auto"/>
            <w:noWrap/>
            <w:vAlign w:val="bottom"/>
          </w:tcPr>
          <w:p w:rsidR="00314796" w:rsidRPr="0006205B" w:rsidRDefault="00314796" w:rsidP="00024402">
            <w:pPr>
              <w:pStyle w:val="NoSpacing"/>
              <w:jc w:val="center"/>
              <w:rPr>
                <w:rFonts w:ascii="Calibri" w:eastAsia="Times New Roman" w:hAnsi="Calibri" w:cs="Calibri"/>
                <w:color w:val="000000"/>
              </w:rPr>
            </w:pPr>
            <w:r w:rsidRPr="0006205B">
              <w:rPr>
                <w:rFonts w:ascii="Calibri" w:eastAsia="Times New Roman" w:hAnsi="Calibri" w:cs="Calibri"/>
                <w:color w:val="000000"/>
              </w:rPr>
              <w:t>0.54</w:t>
            </w:r>
          </w:p>
        </w:tc>
        <w:tc>
          <w:tcPr>
            <w:tcW w:w="1153" w:type="dxa"/>
            <w:shd w:val="clear" w:color="auto" w:fill="auto"/>
            <w:vAlign w:val="bottom"/>
          </w:tcPr>
          <w:p w:rsidR="00314796" w:rsidRPr="0006205B" w:rsidRDefault="00314796" w:rsidP="00024402">
            <w:pPr>
              <w:pStyle w:val="NoSpacing"/>
              <w:jc w:val="center"/>
              <w:rPr>
                <w:rFonts w:ascii="Calibri" w:eastAsia="Times New Roman" w:hAnsi="Calibri" w:cs="Calibri"/>
                <w:color w:val="000000"/>
              </w:rPr>
            </w:pPr>
            <w:r w:rsidRPr="0006205B">
              <w:rPr>
                <w:rFonts w:ascii="Calibri" w:eastAsia="Times New Roman" w:hAnsi="Calibri" w:cs="Calibri"/>
                <w:color w:val="000000"/>
              </w:rPr>
              <w:t>0.592</w:t>
            </w:r>
          </w:p>
        </w:tc>
      </w:tr>
      <w:tr w:rsidR="00314796" w:rsidRPr="0006205B" w:rsidTr="00314796">
        <w:tblPrEx>
          <w:tblLook w:val="04A0" w:firstRow="1" w:lastRow="0" w:firstColumn="1" w:lastColumn="0" w:noHBand="0" w:noVBand="1"/>
        </w:tblPrEx>
        <w:trPr>
          <w:trHeight w:val="279"/>
        </w:trPr>
        <w:tc>
          <w:tcPr>
            <w:tcW w:w="3130" w:type="dxa"/>
            <w:shd w:val="clear" w:color="auto" w:fill="auto"/>
            <w:noWrap/>
            <w:vAlign w:val="bottom"/>
            <w:hideMark/>
          </w:tcPr>
          <w:p w:rsidR="00314796" w:rsidRPr="0006205B" w:rsidRDefault="00314796" w:rsidP="00314796">
            <w:pPr>
              <w:pStyle w:val="NoSpacing"/>
              <w:rPr>
                <w:rFonts w:ascii="Calibri" w:eastAsia="Times New Roman" w:hAnsi="Calibri" w:cs="Calibri"/>
                <w:color w:val="000000"/>
              </w:rPr>
            </w:pPr>
            <w:proofErr w:type="spellStart"/>
            <w:r>
              <w:t>Hyperdivergent</w:t>
            </w:r>
            <w:proofErr w:type="spellEnd"/>
          </w:p>
        </w:tc>
        <w:tc>
          <w:tcPr>
            <w:tcW w:w="1044" w:type="dxa"/>
            <w:shd w:val="clear" w:color="auto" w:fill="auto"/>
            <w:noWrap/>
            <w:vAlign w:val="bottom"/>
            <w:hideMark/>
          </w:tcPr>
          <w:p w:rsidR="00314796" w:rsidRPr="0006205B" w:rsidRDefault="00314796" w:rsidP="00024402">
            <w:pPr>
              <w:pStyle w:val="NoSpacing"/>
              <w:jc w:val="center"/>
              <w:rPr>
                <w:rFonts w:ascii="Calibri" w:eastAsia="Times New Roman" w:hAnsi="Calibri" w:cs="Calibri"/>
                <w:color w:val="000000"/>
              </w:rPr>
            </w:pPr>
            <w:r w:rsidRPr="0006205B">
              <w:rPr>
                <w:rFonts w:ascii="Calibri" w:eastAsia="Times New Roman" w:hAnsi="Calibri" w:cs="Calibri"/>
                <w:color w:val="000000"/>
              </w:rPr>
              <w:t>1.07</w:t>
            </w:r>
          </w:p>
        </w:tc>
        <w:tc>
          <w:tcPr>
            <w:tcW w:w="1144" w:type="dxa"/>
            <w:shd w:val="clear" w:color="auto" w:fill="auto"/>
            <w:vAlign w:val="bottom"/>
          </w:tcPr>
          <w:p w:rsidR="00314796" w:rsidRPr="0006205B" w:rsidRDefault="00314796" w:rsidP="00024402">
            <w:pPr>
              <w:pStyle w:val="NoSpacing"/>
              <w:jc w:val="center"/>
              <w:rPr>
                <w:rFonts w:ascii="Calibri" w:eastAsia="Times New Roman" w:hAnsi="Calibri" w:cs="Calibri"/>
                <w:color w:val="000000"/>
              </w:rPr>
            </w:pPr>
            <w:r w:rsidRPr="0006205B">
              <w:rPr>
                <w:rFonts w:ascii="Calibri" w:eastAsia="Times New Roman" w:hAnsi="Calibri" w:cs="Calibri"/>
                <w:color w:val="000000"/>
              </w:rPr>
              <w:t>0.289</w:t>
            </w:r>
          </w:p>
        </w:tc>
        <w:tc>
          <w:tcPr>
            <w:tcW w:w="1047" w:type="dxa"/>
            <w:shd w:val="clear" w:color="auto" w:fill="auto"/>
            <w:noWrap/>
            <w:vAlign w:val="bottom"/>
            <w:hideMark/>
          </w:tcPr>
          <w:p w:rsidR="00314796" w:rsidRPr="0006205B" w:rsidRDefault="00314796" w:rsidP="00024402">
            <w:pPr>
              <w:pStyle w:val="NoSpacing"/>
              <w:jc w:val="center"/>
              <w:rPr>
                <w:rFonts w:ascii="Calibri" w:eastAsia="Times New Roman" w:hAnsi="Calibri" w:cs="Calibri"/>
                <w:color w:val="000000"/>
              </w:rPr>
            </w:pPr>
            <w:r w:rsidRPr="0006205B">
              <w:rPr>
                <w:rFonts w:ascii="Calibri" w:eastAsia="Times New Roman" w:hAnsi="Calibri" w:cs="Calibri"/>
                <w:color w:val="000000"/>
              </w:rPr>
              <w:t>0.83</w:t>
            </w:r>
          </w:p>
        </w:tc>
        <w:tc>
          <w:tcPr>
            <w:tcW w:w="1153" w:type="dxa"/>
            <w:shd w:val="clear" w:color="auto" w:fill="auto"/>
            <w:vAlign w:val="bottom"/>
          </w:tcPr>
          <w:p w:rsidR="00314796" w:rsidRPr="0006205B" w:rsidRDefault="00314796" w:rsidP="00024402">
            <w:pPr>
              <w:pStyle w:val="NoSpacing"/>
              <w:jc w:val="center"/>
              <w:rPr>
                <w:rFonts w:ascii="Calibri" w:eastAsia="Times New Roman" w:hAnsi="Calibri" w:cs="Calibri"/>
                <w:color w:val="000000"/>
              </w:rPr>
            </w:pPr>
            <w:r w:rsidRPr="0006205B">
              <w:rPr>
                <w:rFonts w:ascii="Calibri" w:eastAsia="Times New Roman" w:hAnsi="Calibri" w:cs="Calibri"/>
                <w:color w:val="000000"/>
              </w:rPr>
              <w:t>0.408</w:t>
            </w:r>
          </w:p>
        </w:tc>
      </w:tr>
      <w:tr w:rsidR="00314796" w:rsidRPr="0006205B" w:rsidTr="00314796">
        <w:tblPrEx>
          <w:tblLook w:val="04A0" w:firstRow="1" w:lastRow="0" w:firstColumn="1" w:lastColumn="0" w:noHBand="0" w:noVBand="1"/>
        </w:tblPrEx>
        <w:trPr>
          <w:trHeight w:val="279"/>
        </w:trPr>
        <w:tc>
          <w:tcPr>
            <w:tcW w:w="3130" w:type="dxa"/>
            <w:shd w:val="clear" w:color="auto" w:fill="auto"/>
            <w:noWrap/>
            <w:vAlign w:val="bottom"/>
          </w:tcPr>
          <w:p w:rsidR="00314796" w:rsidRDefault="00024402" w:rsidP="00314796">
            <w:pPr>
              <w:pStyle w:val="NoSpacing"/>
            </w:pPr>
            <w:r>
              <w:t>Total</w:t>
            </w:r>
          </w:p>
        </w:tc>
        <w:tc>
          <w:tcPr>
            <w:tcW w:w="1044" w:type="dxa"/>
            <w:shd w:val="clear" w:color="auto" w:fill="auto"/>
            <w:noWrap/>
            <w:vAlign w:val="bottom"/>
          </w:tcPr>
          <w:p w:rsidR="00314796" w:rsidRPr="0006205B" w:rsidRDefault="00314796" w:rsidP="00024402">
            <w:pPr>
              <w:pStyle w:val="NoSpacing"/>
              <w:jc w:val="center"/>
              <w:rPr>
                <w:rFonts w:ascii="Calibri" w:eastAsia="Times New Roman" w:hAnsi="Calibri" w:cs="Calibri"/>
                <w:color w:val="000000"/>
              </w:rPr>
            </w:pPr>
            <w:r>
              <w:rPr>
                <w:rFonts w:ascii="Calibri" w:eastAsia="Times New Roman" w:hAnsi="Calibri" w:cs="Calibri"/>
                <w:color w:val="000000"/>
              </w:rPr>
              <w:t>1.23</w:t>
            </w:r>
          </w:p>
        </w:tc>
        <w:tc>
          <w:tcPr>
            <w:tcW w:w="1144" w:type="dxa"/>
            <w:shd w:val="clear" w:color="auto" w:fill="auto"/>
            <w:vAlign w:val="bottom"/>
          </w:tcPr>
          <w:p w:rsidR="00314796" w:rsidRPr="0006205B" w:rsidRDefault="00314796" w:rsidP="00024402">
            <w:pPr>
              <w:pStyle w:val="NoSpacing"/>
              <w:jc w:val="center"/>
              <w:rPr>
                <w:rFonts w:ascii="Calibri" w:eastAsia="Times New Roman" w:hAnsi="Calibri" w:cs="Calibri"/>
                <w:color w:val="000000"/>
              </w:rPr>
            </w:pPr>
            <w:r>
              <w:rPr>
                <w:rFonts w:ascii="Calibri" w:eastAsia="Times New Roman" w:hAnsi="Calibri" w:cs="Calibri"/>
                <w:color w:val="000000"/>
              </w:rPr>
              <w:t>0.219</w:t>
            </w:r>
          </w:p>
        </w:tc>
        <w:tc>
          <w:tcPr>
            <w:tcW w:w="1047" w:type="dxa"/>
            <w:shd w:val="clear" w:color="auto" w:fill="auto"/>
            <w:noWrap/>
            <w:vAlign w:val="bottom"/>
          </w:tcPr>
          <w:p w:rsidR="00314796" w:rsidRPr="0006205B" w:rsidRDefault="00314796" w:rsidP="00024402">
            <w:pPr>
              <w:pStyle w:val="NoSpacing"/>
              <w:jc w:val="center"/>
              <w:rPr>
                <w:rFonts w:ascii="Calibri" w:eastAsia="Times New Roman" w:hAnsi="Calibri" w:cs="Calibri"/>
                <w:color w:val="000000"/>
              </w:rPr>
            </w:pPr>
            <w:r>
              <w:rPr>
                <w:rFonts w:ascii="Calibri" w:eastAsia="Times New Roman" w:hAnsi="Calibri" w:cs="Calibri"/>
                <w:color w:val="000000"/>
              </w:rPr>
              <w:t>1.14</w:t>
            </w:r>
          </w:p>
        </w:tc>
        <w:tc>
          <w:tcPr>
            <w:tcW w:w="1153" w:type="dxa"/>
            <w:shd w:val="clear" w:color="auto" w:fill="auto"/>
            <w:vAlign w:val="bottom"/>
          </w:tcPr>
          <w:p w:rsidR="00314796" w:rsidRPr="0006205B" w:rsidRDefault="00314796" w:rsidP="00024402">
            <w:pPr>
              <w:pStyle w:val="NoSpacing"/>
              <w:jc w:val="center"/>
              <w:rPr>
                <w:rFonts w:ascii="Calibri" w:eastAsia="Times New Roman" w:hAnsi="Calibri" w:cs="Calibri"/>
                <w:color w:val="000000"/>
              </w:rPr>
            </w:pPr>
            <w:r>
              <w:rPr>
                <w:rFonts w:ascii="Calibri" w:eastAsia="Times New Roman" w:hAnsi="Calibri" w:cs="Calibri"/>
                <w:color w:val="000000"/>
              </w:rPr>
              <w:t>0.254</w:t>
            </w:r>
          </w:p>
        </w:tc>
      </w:tr>
    </w:tbl>
    <w:p w:rsidR="00693CC0" w:rsidRPr="00985AE3" w:rsidRDefault="00C318F8" w:rsidP="00314796">
      <w:pPr>
        <w:pStyle w:val="NoSpacing"/>
        <w:jc w:val="center"/>
      </w:pPr>
      <w:r w:rsidRPr="00985AE3">
        <w:t xml:space="preserve">P&gt;0.05 (NS); P&lt;0.05 (S); </w:t>
      </w:r>
      <w:r w:rsidR="00584AFF">
        <w:t>P&lt;0.0</w:t>
      </w:r>
      <w:r w:rsidRPr="00985AE3">
        <w:t>1 (HS)</w:t>
      </w:r>
    </w:p>
    <w:p w:rsidR="00AB0232" w:rsidRPr="00314796" w:rsidRDefault="00EF51C2" w:rsidP="00314796">
      <w:pPr>
        <w:pStyle w:val="NoSpacing"/>
        <w:jc w:val="both"/>
        <w:rPr>
          <w:rFonts w:ascii="Times New Roman" w:hAnsi="Times New Roman" w:cs="Times New Roman"/>
          <w:sz w:val="24"/>
          <w:szCs w:val="18"/>
        </w:rPr>
      </w:pPr>
      <w:r w:rsidRPr="00314796">
        <w:rPr>
          <w:rFonts w:ascii="Times New Roman" w:hAnsi="Times New Roman" w:cs="Times New Roman"/>
          <w:sz w:val="24"/>
          <w:szCs w:val="18"/>
        </w:rPr>
        <w:t>In males correlation</w:t>
      </w:r>
      <w:r w:rsidR="00C4314C">
        <w:rPr>
          <w:rFonts w:ascii="Times New Roman" w:hAnsi="Times New Roman" w:cs="Times New Roman"/>
          <w:sz w:val="24"/>
          <w:szCs w:val="18"/>
        </w:rPr>
        <w:t xml:space="preserve"> coefficient was determined of</w:t>
      </w:r>
      <w:r w:rsidRPr="00314796">
        <w:rPr>
          <w:rFonts w:ascii="Times New Roman" w:hAnsi="Times New Roman" w:cs="Times New Roman"/>
          <w:sz w:val="24"/>
          <w:szCs w:val="18"/>
        </w:rPr>
        <w:t xml:space="preserve"> 11, 16, 41, and 46 to </w:t>
      </w:r>
      <w:r w:rsidR="00A91073" w:rsidRPr="00314796">
        <w:rPr>
          <w:rFonts w:ascii="Times New Roman" w:hAnsi="Times New Roman" w:cs="Times New Roman"/>
          <w:sz w:val="24"/>
          <w:szCs w:val="18"/>
        </w:rPr>
        <w:t xml:space="preserve">soft tissue </w:t>
      </w:r>
      <w:r w:rsidRPr="00314796">
        <w:rPr>
          <w:rFonts w:ascii="Times New Roman" w:hAnsi="Times New Roman" w:cs="Times New Roman"/>
          <w:sz w:val="24"/>
          <w:szCs w:val="18"/>
        </w:rPr>
        <w:t>lower facial height</w:t>
      </w:r>
      <w:r w:rsidR="00A91073" w:rsidRPr="00314796">
        <w:rPr>
          <w:rFonts w:ascii="Times New Roman" w:hAnsi="Times New Roman" w:cs="Times New Roman"/>
          <w:sz w:val="24"/>
          <w:szCs w:val="18"/>
        </w:rPr>
        <w:t xml:space="preserve">. In </w:t>
      </w:r>
      <w:proofErr w:type="spellStart"/>
      <w:r w:rsidR="00A91073" w:rsidRPr="00314796">
        <w:rPr>
          <w:rFonts w:ascii="Times New Roman" w:hAnsi="Times New Roman" w:cs="Times New Roman"/>
          <w:sz w:val="24"/>
          <w:szCs w:val="18"/>
        </w:rPr>
        <w:t>hypodivergent</w:t>
      </w:r>
      <w:proofErr w:type="spellEnd"/>
      <w:r w:rsidR="00A91073" w:rsidRPr="00314796">
        <w:rPr>
          <w:rFonts w:ascii="Times New Roman" w:hAnsi="Times New Roman" w:cs="Times New Roman"/>
          <w:sz w:val="24"/>
          <w:szCs w:val="18"/>
        </w:rPr>
        <w:t xml:space="preserve"> patient 41 is highly</w:t>
      </w:r>
      <w:r w:rsidRPr="00314796">
        <w:rPr>
          <w:rFonts w:ascii="Times New Roman" w:hAnsi="Times New Roman" w:cs="Times New Roman"/>
          <w:sz w:val="24"/>
          <w:szCs w:val="18"/>
        </w:rPr>
        <w:t xml:space="preserve"> statistical</w:t>
      </w:r>
      <w:r w:rsidR="005D1600">
        <w:rPr>
          <w:rFonts w:ascii="Times New Roman" w:hAnsi="Times New Roman" w:cs="Times New Roman"/>
          <w:sz w:val="24"/>
          <w:szCs w:val="18"/>
        </w:rPr>
        <w:t>ly significant</w:t>
      </w:r>
      <w:r w:rsidRPr="00314796">
        <w:rPr>
          <w:rFonts w:ascii="Times New Roman" w:hAnsi="Times New Roman" w:cs="Times New Roman"/>
          <w:sz w:val="24"/>
          <w:szCs w:val="18"/>
        </w:rPr>
        <w:t xml:space="preserve"> with respect to lower facial </w:t>
      </w:r>
      <w:r w:rsidRPr="00314796">
        <w:rPr>
          <w:rFonts w:ascii="Times New Roman" w:hAnsi="Times New Roman" w:cs="Times New Roman"/>
          <w:sz w:val="24"/>
          <w:szCs w:val="18"/>
        </w:rPr>
        <w:lastRenderedPageBreak/>
        <w:t>height</w:t>
      </w:r>
      <w:r w:rsidR="004F71C6" w:rsidRPr="00314796">
        <w:rPr>
          <w:rFonts w:ascii="Times New Roman" w:hAnsi="Times New Roman" w:cs="Times New Roman"/>
          <w:sz w:val="24"/>
          <w:szCs w:val="18"/>
        </w:rPr>
        <w:t xml:space="preserve">. In </w:t>
      </w:r>
      <w:proofErr w:type="spellStart"/>
      <w:r w:rsidR="004F71C6" w:rsidRPr="00314796">
        <w:rPr>
          <w:rFonts w:ascii="Times New Roman" w:hAnsi="Times New Roman" w:cs="Times New Roman"/>
          <w:sz w:val="24"/>
          <w:szCs w:val="18"/>
        </w:rPr>
        <w:t>hyper</w:t>
      </w:r>
      <w:r w:rsidR="00A91073" w:rsidRPr="00314796">
        <w:rPr>
          <w:rFonts w:ascii="Times New Roman" w:hAnsi="Times New Roman" w:cs="Times New Roman"/>
          <w:sz w:val="24"/>
          <w:szCs w:val="18"/>
        </w:rPr>
        <w:t>divergent</w:t>
      </w:r>
      <w:proofErr w:type="spellEnd"/>
      <w:r w:rsidR="00A91073" w:rsidRPr="00314796">
        <w:rPr>
          <w:rFonts w:ascii="Times New Roman" w:hAnsi="Times New Roman" w:cs="Times New Roman"/>
          <w:sz w:val="24"/>
          <w:szCs w:val="18"/>
        </w:rPr>
        <w:t xml:space="preserve"> patient 11 &amp; 41 is statistical</w:t>
      </w:r>
      <w:r w:rsidR="005D1600">
        <w:rPr>
          <w:rFonts w:ascii="Times New Roman" w:hAnsi="Times New Roman" w:cs="Times New Roman"/>
          <w:sz w:val="24"/>
          <w:szCs w:val="18"/>
        </w:rPr>
        <w:t xml:space="preserve">ly significant and 46 </w:t>
      </w:r>
      <w:r w:rsidR="00A91073" w:rsidRPr="00314796">
        <w:rPr>
          <w:rFonts w:ascii="Times New Roman" w:hAnsi="Times New Roman" w:cs="Times New Roman"/>
          <w:sz w:val="24"/>
          <w:szCs w:val="18"/>
        </w:rPr>
        <w:t>highly statistical</w:t>
      </w:r>
      <w:r w:rsidR="005D1600">
        <w:rPr>
          <w:rFonts w:ascii="Times New Roman" w:hAnsi="Times New Roman" w:cs="Times New Roman"/>
          <w:sz w:val="24"/>
          <w:szCs w:val="18"/>
        </w:rPr>
        <w:t>ly significant</w:t>
      </w:r>
      <w:r w:rsidR="00A91073" w:rsidRPr="00314796">
        <w:rPr>
          <w:rFonts w:ascii="Times New Roman" w:hAnsi="Times New Roman" w:cs="Times New Roman"/>
          <w:sz w:val="24"/>
          <w:szCs w:val="18"/>
        </w:rPr>
        <w:t xml:space="preserve"> with r</w:t>
      </w:r>
      <w:r w:rsidR="004D19FC">
        <w:rPr>
          <w:rFonts w:ascii="Times New Roman" w:hAnsi="Times New Roman" w:cs="Times New Roman"/>
          <w:sz w:val="24"/>
          <w:szCs w:val="18"/>
        </w:rPr>
        <w:t xml:space="preserve">espect to lower facial height </w:t>
      </w:r>
      <w:r w:rsidRPr="00314796">
        <w:rPr>
          <w:rFonts w:ascii="Times New Roman" w:hAnsi="Times New Roman" w:cs="Times New Roman"/>
          <w:b/>
          <w:bCs/>
          <w:sz w:val="24"/>
          <w:szCs w:val="18"/>
        </w:rPr>
        <w:t>(Table 5).</w:t>
      </w:r>
    </w:p>
    <w:p w:rsidR="00EA34C9" w:rsidRPr="00E3620A" w:rsidRDefault="00EA34C9" w:rsidP="00E3620A">
      <w:pPr>
        <w:pStyle w:val="NoSpacing"/>
        <w:jc w:val="center"/>
        <w:rPr>
          <w:rFonts w:ascii="Times New Roman" w:hAnsi="Times New Roman" w:cs="Times New Roman"/>
          <w:b/>
          <w:sz w:val="24"/>
        </w:rPr>
      </w:pPr>
      <w:proofErr w:type="gramStart"/>
      <w:r w:rsidRPr="00E3620A">
        <w:rPr>
          <w:rFonts w:ascii="Times New Roman" w:hAnsi="Times New Roman" w:cs="Times New Roman"/>
          <w:b/>
          <w:sz w:val="24"/>
        </w:rPr>
        <w:t>Table 5.</w:t>
      </w:r>
      <w:proofErr w:type="gramEnd"/>
      <w:r w:rsidRPr="00E3620A">
        <w:rPr>
          <w:rFonts w:ascii="Times New Roman" w:hAnsi="Times New Roman" w:cs="Times New Roman"/>
          <w:b/>
          <w:sz w:val="24"/>
        </w:rPr>
        <w:t xml:space="preserve"> </w:t>
      </w:r>
      <w:proofErr w:type="gramStart"/>
      <w:r w:rsidRPr="00E3620A">
        <w:rPr>
          <w:rFonts w:ascii="Times New Roman" w:hAnsi="Times New Roman" w:cs="Times New Roman"/>
          <w:b/>
          <w:sz w:val="24"/>
        </w:rPr>
        <w:t>correlation</w:t>
      </w:r>
      <w:proofErr w:type="gramEnd"/>
      <w:r w:rsidRPr="00E3620A">
        <w:rPr>
          <w:rFonts w:ascii="Times New Roman" w:hAnsi="Times New Roman" w:cs="Times New Roman"/>
          <w:b/>
          <w:sz w:val="24"/>
        </w:rPr>
        <w:t xml:space="preserve"> coefficient ( p-value) </w:t>
      </w:r>
      <w:r w:rsidR="00D703E8" w:rsidRPr="00E3620A">
        <w:rPr>
          <w:rFonts w:ascii="Times New Roman" w:hAnsi="Times New Roman" w:cs="Times New Roman"/>
          <w:b/>
          <w:sz w:val="24"/>
        </w:rPr>
        <w:t xml:space="preserve">soft tissue lower facial height </w:t>
      </w:r>
      <w:r w:rsidRPr="00E3620A">
        <w:rPr>
          <w:rFonts w:ascii="Times New Roman" w:hAnsi="Times New Roman" w:cs="Times New Roman"/>
          <w:b/>
          <w:sz w:val="24"/>
        </w:rPr>
        <w:t>for male</w:t>
      </w:r>
    </w:p>
    <w:tbl>
      <w:tblPr>
        <w:tblStyle w:val="TableGrid"/>
        <w:tblW w:w="0" w:type="auto"/>
        <w:tblInd w:w="1125" w:type="dxa"/>
        <w:tblLook w:val="04A0" w:firstRow="1" w:lastRow="0" w:firstColumn="1" w:lastColumn="0" w:noHBand="0" w:noVBand="1"/>
      </w:tblPr>
      <w:tblGrid>
        <w:gridCol w:w="1188"/>
        <w:gridCol w:w="1980"/>
        <w:gridCol w:w="1980"/>
        <w:gridCol w:w="1980"/>
      </w:tblGrid>
      <w:tr w:rsidR="00D703E8" w:rsidTr="00985AE3">
        <w:trPr>
          <w:trHeight w:val="206"/>
        </w:trPr>
        <w:tc>
          <w:tcPr>
            <w:tcW w:w="1188" w:type="dxa"/>
          </w:tcPr>
          <w:p w:rsidR="00D703E8" w:rsidRPr="00985AE3" w:rsidRDefault="00D703E8" w:rsidP="00985AE3">
            <w:pPr>
              <w:pStyle w:val="NoSpacing"/>
              <w:jc w:val="both"/>
              <w:rPr>
                <w:rFonts w:ascii="Times New Roman" w:hAnsi="Times New Roman" w:cs="Times New Roman"/>
              </w:rPr>
            </w:pPr>
          </w:p>
        </w:tc>
        <w:tc>
          <w:tcPr>
            <w:tcW w:w="1980" w:type="dxa"/>
            <w:vAlign w:val="bottom"/>
          </w:tcPr>
          <w:p w:rsidR="00D703E8" w:rsidRPr="0006205B" w:rsidRDefault="00D703E8" w:rsidP="00024402">
            <w:pPr>
              <w:pStyle w:val="NoSpacing"/>
              <w:jc w:val="center"/>
              <w:rPr>
                <w:rFonts w:ascii="Calibri" w:eastAsia="Times New Roman" w:hAnsi="Calibri" w:cs="Calibri"/>
                <w:color w:val="000000"/>
              </w:rPr>
            </w:pPr>
            <w:proofErr w:type="spellStart"/>
            <w:r>
              <w:rPr>
                <w:rFonts w:ascii="Times New Roman" w:hAnsi="Times New Roman" w:cs="Times New Roman"/>
                <w:szCs w:val="24"/>
              </w:rPr>
              <w:t>Normodivergent</w:t>
            </w:r>
            <w:proofErr w:type="spellEnd"/>
          </w:p>
        </w:tc>
        <w:tc>
          <w:tcPr>
            <w:tcW w:w="1980" w:type="dxa"/>
            <w:vAlign w:val="bottom"/>
          </w:tcPr>
          <w:p w:rsidR="00D703E8" w:rsidRPr="0006205B" w:rsidRDefault="00D703E8" w:rsidP="00024402">
            <w:pPr>
              <w:pStyle w:val="NoSpacing"/>
              <w:jc w:val="center"/>
              <w:rPr>
                <w:rFonts w:ascii="Calibri" w:eastAsia="Times New Roman" w:hAnsi="Calibri" w:cs="Calibri"/>
                <w:color w:val="000000"/>
              </w:rPr>
            </w:pPr>
            <w:proofErr w:type="spellStart"/>
            <w:r>
              <w:rPr>
                <w:rFonts w:ascii="Times New Roman" w:hAnsi="Times New Roman" w:cs="Times New Roman"/>
                <w:szCs w:val="24"/>
              </w:rPr>
              <w:t>Hypodivergent</w:t>
            </w:r>
            <w:proofErr w:type="spellEnd"/>
          </w:p>
        </w:tc>
        <w:tc>
          <w:tcPr>
            <w:tcW w:w="1980" w:type="dxa"/>
            <w:vAlign w:val="bottom"/>
          </w:tcPr>
          <w:p w:rsidR="00D703E8" w:rsidRPr="0006205B" w:rsidRDefault="00985AE3" w:rsidP="00024402">
            <w:pPr>
              <w:pStyle w:val="NoSpacing"/>
              <w:jc w:val="center"/>
              <w:rPr>
                <w:rFonts w:ascii="Calibri" w:eastAsia="Times New Roman" w:hAnsi="Calibri" w:cs="Calibri"/>
                <w:color w:val="000000"/>
              </w:rPr>
            </w:pPr>
            <w:proofErr w:type="spellStart"/>
            <w:r>
              <w:rPr>
                <w:rFonts w:ascii="Calibri" w:eastAsia="Times New Roman" w:hAnsi="Calibri" w:cs="Calibri"/>
                <w:color w:val="000000"/>
              </w:rPr>
              <w:t>Hyperdivergent</w:t>
            </w:r>
            <w:proofErr w:type="spellEnd"/>
          </w:p>
        </w:tc>
      </w:tr>
      <w:tr w:rsidR="00D703E8" w:rsidTr="00985AE3">
        <w:trPr>
          <w:trHeight w:val="305"/>
        </w:trPr>
        <w:tc>
          <w:tcPr>
            <w:tcW w:w="1188" w:type="dxa"/>
          </w:tcPr>
          <w:p w:rsidR="00D703E8" w:rsidRDefault="00D703E8" w:rsidP="00985AE3">
            <w:pPr>
              <w:pStyle w:val="NoSpacing"/>
              <w:jc w:val="both"/>
            </w:pPr>
            <w:r>
              <w:t>Tooth no.</w:t>
            </w:r>
          </w:p>
        </w:tc>
        <w:tc>
          <w:tcPr>
            <w:tcW w:w="1980" w:type="dxa"/>
          </w:tcPr>
          <w:p w:rsidR="00D703E8" w:rsidRDefault="00D703E8" w:rsidP="00024402">
            <w:pPr>
              <w:pStyle w:val="NoSpacing"/>
              <w:jc w:val="center"/>
            </w:pPr>
            <w:r>
              <w:t>Lower facial height</w:t>
            </w:r>
          </w:p>
        </w:tc>
        <w:tc>
          <w:tcPr>
            <w:tcW w:w="1980" w:type="dxa"/>
          </w:tcPr>
          <w:p w:rsidR="00D703E8" w:rsidRDefault="00D703E8" w:rsidP="00024402">
            <w:pPr>
              <w:pStyle w:val="NoSpacing"/>
              <w:jc w:val="center"/>
            </w:pPr>
            <w:r>
              <w:t>Lower facial height</w:t>
            </w:r>
          </w:p>
        </w:tc>
        <w:tc>
          <w:tcPr>
            <w:tcW w:w="1980" w:type="dxa"/>
          </w:tcPr>
          <w:p w:rsidR="00D703E8" w:rsidRDefault="00D703E8" w:rsidP="00024402">
            <w:pPr>
              <w:pStyle w:val="NoSpacing"/>
              <w:jc w:val="center"/>
            </w:pPr>
            <w:r>
              <w:t>Lower facial height</w:t>
            </w:r>
          </w:p>
        </w:tc>
      </w:tr>
      <w:tr w:rsidR="00D703E8" w:rsidTr="00985AE3">
        <w:trPr>
          <w:trHeight w:val="252"/>
        </w:trPr>
        <w:tc>
          <w:tcPr>
            <w:tcW w:w="1188" w:type="dxa"/>
          </w:tcPr>
          <w:p w:rsidR="00D703E8" w:rsidRDefault="00D703E8" w:rsidP="00985AE3">
            <w:pPr>
              <w:jc w:val="both"/>
            </w:pPr>
            <w:r>
              <w:t>11</w:t>
            </w:r>
          </w:p>
        </w:tc>
        <w:tc>
          <w:tcPr>
            <w:tcW w:w="1980" w:type="dxa"/>
          </w:tcPr>
          <w:p w:rsidR="00D703E8" w:rsidRDefault="00D703E8" w:rsidP="00024402">
            <w:pPr>
              <w:jc w:val="center"/>
            </w:pPr>
            <w:r>
              <w:t>-0.004</w:t>
            </w:r>
            <w:r w:rsidR="00F56295">
              <w:t xml:space="preserve"> (0.985)</w:t>
            </w:r>
          </w:p>
        </w:tc>
        <w:tc>
          <w:tcPr>
            <w:tcW w:w="1980" w:type="dxa"/>
          </w:tcPr>
          <w:p w:rsidR="00D703E8" w:rsidRDefault="003F4AD5" w:rsidP="00024402">
            <w:pPr>
              <w:jc w:val="center"/>
            </w:pPr>
            <w:r>
              <w:t>0.283 (0.130)</w:t>
            </w:r>
          </w:p>
        </w:tc>
        <w:tc>
          <w:tcPr>
            <w:tcW w:w="1980" w:type="dxa"/>
          </w:tcPr>
          <w:p w:rsidR="00D703E8" w:rsidRDefault="00AB0232" w:rsidP="00024402">
            <w:pPr>
              <w:jc w:val="center"/>
            </w:pPr>
            <w:r>
              <w:t>0.373(0.042)*</w:t>
            </w:r>
          </w:p>
        </w:tc>
      </w:tr>
      <w:tr w:rsidR="00D703E8" w:rsidTr="00985AE3">
        <w:trPr>
          <w:trHeight w:val="267"/>
        </w:trPr>
        <w:tc>
          <w:tcPr>
            <w:tcW w:w="1188" w:type="dxa"/>
          </w:tcPr>
          <w:p w:rsidR="00D703E8" w:rsidRDefault="00D703E8" w:rsidP="00985AE3">
            <w:pPr>
              <w:jc w:val="both"/>
            </w:pPr>
            <w:r>
              <w:t>16</w:t>
            </w:r>
          </w:p>
        </w:tc>
        <w:tc>
          <w:tcPr>
            <w:tcW w:w="1980" w:type="dxa"/>
          </w:tcPr>
          <w:p w:rsidR="00D703E8" w:rsidRDefault="00F56295" w:rsidP="00024402">
            <w:pPr>
              <w:jc w:val="center"/>
            </w:pPr>
            <w:r>
              <w:t>0.193</w:t>
            </w:r>
            <w:r w:rsidR="003F4AD5">
              <w:t xml:space="preserve">  </w:t>
            </w:r>
            <w:r>
              <w:t>(0.308)</w:t>
            </w:r>
          </w:p>
        </w:tc>
        <w:tc>
          <w:tcPr>
            <w:tcW w:w="1980" w:type="dxa"/>
          </w:tcPr>
          <w:p w:rsidR="00D703E8" w:rsidRDefault="003F4AD5" w:rsidP="00024402">
            <w:pPr>
              <w:jc w:val="center"/>
            </w:pPr>
            <w:r>
              <w:t>0.283 (0.130)</w:t>
            </w:r>
          </w:p>
        </w:tc>
        <w:tc>
          <w:tcPr>
            <w:tcW w:w="1980" w:type="dxa"/>
          </w:tcPr>
          <w:p w:rsidR="00D703E8" w:rsidRDefault="00AB0232" w:rsidP="00024402">
            <w:pPr>
              <w:jc w:val="center"/>
            </w:pPr>
            <w:r>
              <w:t>0.220(0.243)</w:t>
            </w:r>
          </w:p>
        </w:tc>
      </w:tr>
      <w:tr w:rsidR="00D703E8" w:rsidTr="00985AE3">
        <w:trPr>
          <w:trHeight w:val="252"/>
        </w:trPr>
        <w:tc>
          <w:tcPr>
            <w:tcW w:w="1188" w:type="dxa"/>
          </w:tcPr>
          <w:p w:rsidR="00D703E8" w:rsidRDefault="00D703E8" w:rsidP="00985AE3">
            <w:pPr>
              <w:jc w:val="both"/>
            </w:pPr>
            <w:r>
              <w:t>41</w:t>
            </w:r>
          </w:p>
        </w:tc>
        <w:tc>
          <w:tcPr>
            <w:tcW w:w="1980" w:type="dxa"/>
          </w:tcPr>
          <w:p w:rsidR="00D703E8" w:rsidRDefault="00F56295" w:rsidP="00024402">
            <w:pPr>
              <w:jc w:val="center"/>
            </w:pPr>
            <w:r>
              <w:t>0.080</w:t>
            </w:r>
            <w:r w:rsidR="003F4AD5">
              <w:t xml:space="preserve">  </w:t>
            </w:r>
            <w:r>
              <w:t>(0.672)</w:t>
            </w:r>
          </w:p>
        </w:tc>
        <w:tc>
          <w:tcPr>
            <w:tcW w:w="1980" w:type="dxa"/>
          </w:tcPr>
          <w:p w:rsidR="00D703E8" w:rsidRDefault="003F4AD5" w:rsidP="00024402">
            <w:pPr>
              <w:jc w:val="center"/>
            </w:pPr>
            <w:r>
              <w:t>0.534 (0.002)*</w:t>
            </w:r>
            <w:r w:rsidR="00AB0232">
              <w:t>*</w:t>
            </w:r>
          </w:p>
        </w:tc>
        <w:tc>
          <w:tcPr>
            <w:tcW w:w="1980" w:type="dxa"/>
          </w:tcPr>
          <w:p w:rsidR="00D703E8" w:rsidRDefault="00AB0232" w:rsidP="00024402">
            <w:pPr>
              <w:jc w:val="center"/>
            </w:pPr>
            <w:r>
              <w:t>0.380(0.038)*</w:t>
            </w:r>
          </w:p>
        </w:tc>
      </w:tr>
      <w:tr w:rsidR="00D703E8" w:rsidTr="00985AE3">
        <w:trPr>
          <w:trHeight w:val="267"/>
        </w:trPr>
        <w:tc>
          <w:tcPr>
            <w:tcW w:w="1188" w:type="dxa"/>
          </w:tcPr>
          <w:p w:rsidR="00D703E8" w:rsidRDefault="00D703E8" w:rsidP="00985AE3">
            <w:pPr>
              <w:jc w:val="both"/>
            </w:pPr>
            <w:r>
              <w:t>46</w:t>
            </w:r>
          </w:p>
        </w:tc>
        <w:tc>
          <w:tcPr>
            <w:tcW w:w="1980" w:type="dxa"/>
          </w:tcPr>
          <w:p w:rsidR="00D703E8" w:rsidRDefault="00F56295" w:rsidP="00024402">
            <w:pPr>
              <w:jc w:val="center"/>
            </w:pPr>
            <w:r>
              <w:t>0.136</w:t>
            </w:r>
            <w:r w:rsidR="003F4AD5">
              <w:t xml:space="preserve">  </w:t>
            </w:r>
            <w:r>
              <w:t>(0.475)</w:t>
            </w:r>
          </w:p>
        </w:tc>
        <w:tc>
          <w:tcPr>
            <w:tcW w:w="1980" w:type="dxa"/>
          </w:tcPr>
          <w:p w:rsidR="00D703E8" w:rsidRDefault="003F4AD5" w:rsidP="00024402">
            <w:pPr>
              <w:jc w:val="center"/>
            </w:pPr>
            <w:r>
              <w:t>0.150 (0.429)</w:t>
            </w:r>
          </w:p>
        </w:tc>
        <w:tc>
          <w:tcPr>
            <w:tcW w:w="1980" w:type="dxa"/>
          </w:tcPr>
          <w:p w:rsidR="00D703E8" w:rsidRDefault="00AB0232" w:rsidP="00024402">
            <w:pPr>
              <w:jc w:val="center"/>
            </w:pPr>
            <w:r>
              <w:t>0.480(0.007)**</w:t>
            </w:r>
          </w:p>
        </w:tc>
      </w:tr>
    </w:tbl>
    <w:p w:rsidR="00985AE3" w:rsidRDefault="00985AE3" w:rsidP="00314796">
      <w:pPr>
        <w:pStyle w:val="NoSpacing"/>
        <w:jc w:val="center"/>
      </w:pPr>
      <w:r>
        <w:t>P</w:t>
      </w:r>
      <w:r w:rsidR="00584AFF">
        <w:t>&gt;0.05 (NS); P&lt;0.05 (S); P&lt;0.0</w:t>
      </w:r>
      <w:r>
        <w:t>1 (HS)</w:t>
      </w:r>
    </w:p>
    <w:p w:rsidR="00230A6E" w:rsidRPr="004F71C6" w:rsidRDefault="00230A6E" w:rsidP="00314796">
      <w:pPr>
        <w:pStyle w:val="NoSpacing"/>
        <w:jc w:val="both"/>
        <w:rPr>
          <w:rFonts w:ascii="Times New Roman" w:hAnsi="Times New Roman" w:cs="Times New Roman"/>
          <w:sz w:val="24"/>
        </w:rPr>
      </w:pPr>
      <w:r w:rsidRPr="004F71C6">
        <w:rPr>
          <w:rFonts w:ascii="Times New Roman" w:hAnsi="Times New Roman" w:cs="Times New Roman"/>
          <w:sz w:val="24"/>
        </w:rPr>
        <w:t>In females correlation</w:t>
      </w:r>
      <w:r w:rsidR="00C4314C">
        <w:rPr>
          <w:rFonts w:ascii="Times New Roman" w:hAnsi="Times New Roman" w:cs="Times New Roman"/>
          <w:sz w:val="24"/>
        </w:rPr>
        <w:t xml:space="preserve"> coefficient was determined of</w:t>
      </w:r>
      <w:r w:rsidRPr="004F71C6">
        <w:rPr>
          <w:rFonts w:ascii="Times New Roman" w:hAnsi="Times New Roman" w:cs="Times New Roman"/>
          <w:sz w:val="24"/>
        </w:rPr>
        <w:t xml:space="preserve"> 11, 16, 41, and 46 to soft tissue lower facial height. In </w:t>
      </w:r>
      <w:proofErr w:type="spellStart"/>
      <w:proofErr w:type="gramStart"/>
      <w:r w:rsidRPr="004F71C6">
        <w:rPr>
          <w:rFonts w:ascii="Times New Roman" w:hAnsi="Times New Roman" w:cs="Times New Roman"/>
          <w:sz w:val="24"/>
        </w:rPr>
        <w:t>hypodivergent</w:t>
      </w:r>
      <w:proofErr w:type="spellEnd"/>
      <w:r w:rsidRPr="004F71C6">
        <w:rPr>
          <w:rFonts w:ascii="Times New Roman" w:hAnsi="Times New Roman" w:cs="Times New Roman"/>
          <w:sz w:val="24"/>
        </w:rPr>
        <w:t xml:space="preserve">  &amp;</w:t>
      </w:r>
      <w:proofErr w:type="gramEnd"/>
      <w:r w:rsidRPr="004F71C6">
        <w:rPr>
          <w:rFonts w:ascii="Times New Roman" w:hAnsi="Times New Roman" w:cs="Times New Roman"/>
          <w:sz w:val="24"/>
        </w:rPr>
        <w:t xml:space="preserve"> </w:t>
      </w:r>
      <w:proofErr w:type="spellStart"/>
      <w:r w:rsidRPr="004F71C6">
        <w:rPr>
          <w:rFonts w:ascii="Times New Roman" w:hAnsi="Times New Roman" w:cs="Times New Roman"/>
          <w:sz w:val="24"/>
        </w:rPr>
        <w:t>hyperdivergent</w:t>
      </w:r>
      <w:proofErr w:type="spellEnd"/>
      <w:r w:rsidRPr="004F71C6">
        <w:rPr>
          <w:rFonts w:ascii="Times New Roman" w:hAnsi="Times New Roman" w:cs="Times New Roman"/>
          <w:sz w:val="24"/>
        </w:rPr>
        <w:t xml:space="preserve"> patient 41 is statistical</w:t>
      </w:r>
      <w:r w:rsidR="005D1600">
        <w:rPr>
          <w:rFonts w:ascii="Times New Roman" w:hAnsi="Times New Roman" w:cs="Times New Roman"/>
          <w:sz w:val="24"/>
        </w:rPr>
        <w:t>ly significant</w:t>
      </w:r>
      <w:r w:rsidRPr="004F71C6">
        <w:rPr>
          <w:rFonts w:ascii="Times New Roman" w:hAnsi="Times New Roman" w:cs="Times New Roman"/>
          <w:sz w:val="24"/>
        </w:rPr>
        <w:t xml:space="preserve"> with </w:t>
      </w:r>
      <w:r w:rsidR="00024402">
        <w:rPr>
          <w:rFonts w:ascii="Times New Roman" w:hAnsi="Times New Roman" w:cs="Times New Roman"/>
          <w:sz w:val="24"/>
        </w:rPr>
        <w:t>respect to lower facial height</w:t>
      </w:r>
      <w:r w:rsidR="004D19FC">
        <w:rPr>
          <w:rFonts w:ascii="Times New Roman" w:hAnsi="Times New Roman" w:cs="Times New Roman"/>
          <w:sz w:val="24"/>
        </w:rPr>
        <w:t xml:space="preserve"> </w:t>
      </w:r>
      <w:r w:rsidRPr="004F71C6">
        <w:rPr>
          <w:rFonts w:ascii="Times New Roman" w:hAnsi="Times New Roman" w:cs="Times New Roman"/>
          <w:b/>
          <w:bCs/>
          <w:sz w:val="24"/>
        </w:rPr>
        <w:t>(Table 6).</w:t>
      </w:r>
    </w:p>
    <w:p w:rsidR="00230A6E" w:rsidRPr="004F71C6" w:rsidRDefault="00230A6E" w:rsidP="004F71C6">
      <w:pPr>
        <w:pStyle w:val="NoSpacing"/>
        <w:jc w:val="center"/>
        <w:rPr>
          <w:rFonts w:ascii="Times New Roman" w:hAnsi="Times New Roman" w:cs="Times New Roman"/>
          <w:b/>
          <w:sz w:val="24"/>
        </w:rPr>
      </w:pPr>
      <w:proofErr w:type="gramStart"/>
      <w:r w:rsidRPr="004F71C6">
        <w:rPr>
          <w:rFonts w:ascii="Times New Roman" w:hAnsi="Times New Roman" w:cs="Times New Roman"/>
          <w:b/>
          <w:sz w:val="24"/>
        </w:rPr>
        <w:t>Table 6.</w:t>
      </w:r>
      <w:proofErr w:type="gramEnd"/>
      <w:r w:rsidRPr="004F71C6">
        <w:rPr>
          <w:rFonts w:ascii="Times New Roman" w:hAnsi="Times New Roman" w:cs="Times New Roman"/>
          <w:b/>
          <w:sz w:val="24"/>
        </w:rPr>
        <w:t xml:space="preserve"> </w:t>
      </w:r>
      <w:proofErr w:type="gramStart"/>
      <w:r w:rsidRPr="004F71C6">
        <w:rPr>
          <w:rFonts w:ascii="Times New Roman" w:hAnsi="Times New Roman" w:cs="Times New Roman"/>
          <w:b/>
          <w:sz w:val="24"/>
        </w:rPr>
        <w:t>correlation</w:t>
      </w:r>
      <w:proofErr w:type="gramEnd"/>
      <w:r w:rsidRPr="004F71C6">
        <w:rPr>
          <w:rFonts w:ascii="Times New Roman" w:hAnsi="Times New Roman" w:cs="Times New Roman"/>
          <w:b/>
          <w:sz w:val="24"/>
        </w:rPr>
        <w:t xml:space="preserve"> coefficient ( p-value) soft tissue lower facial height for female</w:t>
      </w:r>
    </w:p>
    <w:tbl>
      <w:tblPr>
        <w:tblStyle w:val="TableGrid"/>
        <w:tblW w:w="0" w:type="auto"/>
        <w:tblInd w:w="1125" w:type="dxa"/>
        <w:tblLook w:val="04A0" w:firstRow="1" w:lastRow="0" w:firstColumn="1" w:lastColumn="0" w:noHBand="0" w:noVBand="1"/>
      </w:tblPr>
      <w:tblGrid>
        <w:gridCol w:w="1188"/>
        <w:gridCol w:w="1980"/>
        <w:gridCol w:w="1980"/>
        <w:gridCol w:w="1980"/>
      </w:tblGrid>
      <w:tr w:rsidR="00985AE3" w:rsidTr="00985AE3">
        <w:trPr>
          <w:trHeight w:val="221"/>
        </w:trPr>
        <w:tc>
          <w:tcPr>
            <w:tcW w:w="1188" w:type="dxa"/>
          </w:tcPr>
          <w:p w:rsidR="00985AE3" w:rsidRDefault="00985AE3" w:rsidP="00985AE3">
            <w:pPr>
              <w:jc w:val="both"/>
            </w:pPr>
          </w:p>
        </w:tc>
        <w:tc>
          <w:tcPr>
            <w:tcW w:w="1980" w:type="dxa"/>
            <w:vAlign w:val="bottom"/>
          </w:tcPr>
          <w:p w:rsidR="00985AE3" w:rsidRPr="0006205B" w:rsidRDefault="00985AE3" w:rsidP="00024402">
            <w:pPr>
              <w:jc w:val="center"/>
              <w:rPr>
                <w:rFonts w:ascii="Calibri" w:eastAsia="Times New Roman" w:hAnsi="Calibri" w:cs="Calibri"/>
                <w:color w:val="000000"/>
              </w:rPr>
            </w:pPr>
            <w:proofErr w:type="spellStart"/>
            <w:r>
              <w:rPr>
                <w:rFonts w:ascii="Times New Roman" w:hAnsi="Times New Roman" w:cs="Times New Roman"/>
                <w:szCs w:val="24"/>
              </w:rPr>
              <w:t>Normodivergent</w:t>
            </w:r>
            <w:proofErr w:type="spellEnd"/>
          </w:p>
        </w:tc>
        <w:tc>
          <w:tcPr>
            <w:tcW w:w="1980" w:type="dxa"/>
            <w:vAlign w:val="bottom"/>
          </w:tcPr>
          <w:p w:rsidR="00985AE3" w:rsidRPr="0006205B" w:rsidRDefault="00985AE3" w:rsidP="00024402">
            <w:pPr>
              <w:jc w:val="center"/>
              <w:rPr>
                <w:rFonts w:ascii="Calibri" w:eastAsia="Times New Roman" w:hAnsi="Calibri" w:cs="Calibri"/>
                <w:color w:val="000000"/>
              </w:rPr>
            </w:pPr>
            <w:proofErr w:type="spellStart"/>
            <w:r>
              <w:rPr>
                <w:rFonts w:ascii="Times New Roman" w:hAnsi="Times New Roman" w:cs="Times New Roman"/>
                <w:szCs w:val="24"/>
              </w:rPr>
              <w:t>Hypodivergent</w:t>
            </w:r>
            <w:proofErr w:type="spellEnd"/>
          </w:p>
        </w:tc>
        <w:tc>
          <w:tcPr>
            <w:tcW w:w="1980" w:type="dxa"/>
            <w:vAlign w:val="bottom"/>
          </w:tcPr>
          <w:p w:rsidR="00985AE3" w:rsidRDefault="00985AE3" w:rsidP="00024402">
            <w:pPr>
              <w:jc w:val="center"/>
              <w:rPr>
                <w:rFonts w:ascii="Times New Roman" w:hAnsi="Times New Roman" w:cs="Times New Roman"/>
                <w:szCs w:val="24"/>
              </w:rPr>
            </w:pPr>
            <w:proofErr w:type="spellStart"/>
            <w:r>
              <w:rPr>
                <w:rFonts w:ascii="Times New Roman" w:hAnsi="Times New Roman" w:cs="Times New Roman"/>
                <w:szCs w:val="24"/>
              </w:rPr>
              <w:t>Hyperdivergent</w:t>
            </w:r>
            <w:proofErr w:type="spellEnd"/>
          </w:p>
        </w:tc>
      </w:tr>
      <w:tr w:rsidR="00985AE3" w:rsidTr="00985AE3">
        <w:trPr>
          <w:trHeight w:val="233"/>
        </w:trPr>
        <w:tc>
          <w:tcPr>
            <w:tcW w:w="1188" w:type="dxa"/>
          </w:tcPr>
          <w:p w:rsidR="00985AE3" w:rsidRDefault="00985AE3" w:rsidP="00985AE3">
            <w:pPr>
              <w:jc w:val="both"/>
            </w:pPr>
            <w:r>
              <w:t>Tooth no.</w:t>
            </w:r>
          </w:p>
        </w:tc>
        <w:tc>
          <w:tcPr>
            <w:tcW w:w="1980" w:type="dxa"/>
          </w:tcPr>
          <w:p w:rsidR="00985AE3" w:rsidRDefault="00985AE3" w:rsidP="00024402">
            <w:pPr>
              <w:jc w:val="center"/>
            </w:pPr>
            <w:r>
              <w:t>Lower facial height</w:t>
            </w:r>
          </w:p>
        </w:tc>
        <w:tc>
          <w:tcPr>
            <w:tcW w:w="1980" w:type="dxa"/>
          </w:tcPr>
          <w:p w:rsidR="00985AE3" w:rsidRDefault="00985AE3" w:rsidP="00024402">
            <w:pPr>
              <w:jc w:val="center"/>
            </w:pPr>
            <w:r>
              <w:t>Lower facial height</w:t>
            </w:r>
          </w:p>
        </w:tc>
        <w:tc>
          <w:tcPr>
            <w:tcW w:w="1980" w:type="dxa"/>
          </w:tcPr>
          <w:p w:rsidR="00985AE3" w:rsidRDefault="00985AE3" w:rsidP="00024402">
            <w:pPr>
              <w:jc w:val="center"/>
            </w:pPr>
            <w:r>
              <w:t>Lower facial height</w:t>
            </w:r>
          </w:p>
        </w:tc>
      </w:tr>
      <w:tr w:rsidR="00985AE3" w:rsidTr="00985AE3">
        <w:trPr>
          <w:trHeight w:val="252"/>
        </w:trPr>
        <w:tc>
          <w:tcPr>
            <w:tcW w:w="1188" w:type="dxa"/>
          </w:tcPr>
          <w:p w:rsidR="00985AE3" w:rsidRDefault="00985AE3" w:rsidP="00985AE3">
            <w:pPr>
              <w:jc w:val="both"/>
            </w:pPr>
            <w:r>
              <w:t>11</w:t>
            </w:r>
          </w:p>
        </w:tc>
        <w:tc>
          <w:tcPr>
            <w:tcW w:w="1980" w:type="dxa"/>
          </w:tcPr>
          <w:p w:rsidR="00985AE3" w:rsidRDefault="00985AE3" w:rsidP="00024402">
            <w:pPr>
              <w:jc w:val="center"/>
            </w:pPr>
            <w:r>
              <w:t>0.092  (0.629)</w:t>
            </w:r>
          </w:p>
        </w:tc>
        <w:tc>
          <w:tcPr>
            <w:tcW w:w="1980" w:type="dxa"/>
          </w:tcPr>
          <w:p w:rsidR="00985AE3" w:rsidRDefault="00985AE3" w:rsidP="00024402">
            <w:pPr>
              <w:jc w:val="center"/>
            </w:pPr>
            <w:r>
              <w:t>0.115  (0.546)</w:t>
            </w:r>
          </w:p>
        </w:tc>
        <w:tc>
          <w:tcPr>
            <w:tcW w:w="1980" w:type="dxa"/>
          </w:tcPr>
          <w:p w:rsidR="00985AE3" w:rsidRDefault="00985AE3" w:rsidP="00024402">
            <w:pPr>
              <w:jc w:val="center"/>
            </w:pPr>
            <w:r>
              <w:t>0.098(0.608)</w:t>
            </w:r>
          </w:p>
        </w:tc>
      </w:tr>
      <w:tr w:rsidR="00985AE3" w:rsidTr="00985AE3">
        <w:trPr>
          <w:trHeight w:val="267"/>
        </w:trPr>
        <w:tc>
          <w:tcPr>
            <w:tcW w:w="1188" w:type="dxa"/>
          </w:tcPr>
          <w:p w:rsidR="00985AE3" w:rsidRDefault="00985AE3" w:rsidP="00985AE3">
            <w:pPr>
              <w:jc w:val="both"/>
            </w:pPr>
            <w:r>
              <w:t>16</w:t>
            </w:r>
          </w:p>
        </w:tc>
        <w:tc>
          <w:tcPr>
            <w:tcW w:w="1980" w:type="dxa"/>
          </w:tcPr>
          <w:p w:rsidR="00985AE3" w:rsidRDefault="00985AE3" w:rsidP="00024402">
            <w:pPr>
              <w:jc w:val="center"/>
            </w:pPr>
            <w:r>
              <w:t>0.090  (0.638)</w:t>
            </w:r>
          </w:p>
        </w:tc>
        <w:tc>
          <w:tcPr>
            <w:tcW w:w="1980" w:type="dxa"/>
          </w:tcPr>
          <w:p w:rsidR="00985AE3" w:rsidRDefault="00985AE3" w:rsidP="00024402">
            <w:pPr>
              <w:jc w:val="center"/>
            </w:pPr>
            <w:r>
              <w:t>0.018  (0.926)</w:t>
            </w:r>
          </w:p>
        </w:tc>
        <w:tc>
          <w:tcPr>
            <w:tcW w:w="1980" w:type="dxa"/>
          </w:tcPr>
          <w:p w:rsidR="00985AE3" w:rsidRDefault="00985AE3" w:rsidP="00024402">
            <w:pPr>
              <w:jc w:val="center"/>
            </w:pPr>
            <w:r>
              <w:t>0.057(0.767)</w:t>
            </w:r>
          </w:p>
        </w:tc>
      </w:tr>
      <w:tr w:rsidR="00985AE3" w:rsidTr="00985AE3">
        <w:trPr>
          <w:trHeight w:val="252"/>
        </w:trPr>
        <w:tc>
          <w:tcPr>
            <w:tcW w:w="1188" w:type="dxa"/>
          </w:tcPr>
          <w:p w:rsidR="00985AE3" w:rsidRDefault="00985AE3" w:rsidP="00985AE3">
            <w:pPr>
              <w:jc w:val="both"/>
            </w:pPr>
            <w:r>
              <w:t>41</w:t>
            </w:r>
          </w:p>
        </w:tc>
        <w:tc>
          <w:tcPr>
            <w:tcW w:w="1980" w:type="dxa"/>
          </w:tcPr>
          <w:p w:rsidR="00985AE3" w:rsidRDefault="00985AE3" w:rsidP="00024402">
            <w:pPr>
              <w:jc w:val="center"/>
            </w:pPr>
            <w:r>
              <w:t>-0.231 (0.219)</w:t>
            </w:r>
          </w:p>
        </w:tc>
        <w:tc>
          <w:tcPr>
            <w:tcW w:w="1980" w:type="dxa"/>
          </w:tcPr>
          <w:p w:rsidR="00985AE3" w:rsidRDefault="00985AE3" w:rsidP="00024402">
            <w:pPr>
              <w:jc w:val="center"/>
            </w:pPr>
            <w:r>
              <w:t>0.433  (0.017)*</w:t>
            </w:r>
          </w:p>
        </w:tc>
        <w:tc>
          <w:tcPr>
            <w:tcW w:w="1980" w:type="dxa"/>
          </w:tcPr>
          <w:p w:rsidR="00985AE3" w:rsidRDefault="00985AE3" w:rsidP="00024402">
            <w:pPr>
              <w:jc w:val="center"/>
            </w:pPr>
            <w:r>
              <w:t>0.393(0.032)*</w:t>
            </w:r>
          </w:p>
        </w:tc>
      </w:tr>
      <w:tr w:rsidR="00985AE3" w:rsidTr="00985AE3">
        <w:trPr>
          <w:trHeight w:val="267"/>
        </w:trPr>
        <w:tc>
          <w:tcPr>
            <w:tcW w:w="1188" w:type="dxa"/>
          </w:tcPr>
          <w:p w:rsidR="00985AE3" w:rsidRDefault="00985AE3" w:rsidP="00985AE3">
            <w:pPr>
              <w:jc w:val="both"/>
            </w:pPr>
            <w:r>
              <w:t>46</w:t>
            </w:r>
          </w:p>
        </w:tc>
        <w:tc>
          <w:tcPr>
            <w:tcW w:w="1980" w:type="dxa"/>
          </w:tcPr>
          <w:p w:rsidR="00985AE3" w:rsidRDefault="00985AE3" w:rsidP="00024402">
            <w:pPr>
              <w:jc w:val="center"/>
            </w:pPr>
            <w:r>
              <w:t>0.044  (0.818)</w:t>
            </w:r>
          </w:p>
        </w:tc>
        <w:tc>
          <w:tcPr>
            <w:tcW w:w="1980" w:type="dxa"/>
          </w:tcPr>
          <w:p w:rsidR="00985AE3" w:rsidRDefault="00985AE3" w:rsidP="00024402">
            <w:pPr>
              <w:jc w:val="center"/>
            </w:pPr>
            <w:r>
              <w:t>-0.048 (0.801)</w:t>
            </w:r>
          </w:p>
        </w:tc>
        <w:tc>
          <w:tcPr>
            <w:tcW w:w="1980" w:type="dxa"/>
          </w:tcPr>
          <w:p w:rsidR="00985AE3" w:rsidRDefault="00985AE3" w:rsidP="00024402">
            <w:pPr>
              <w:jc w:val="center"/>
            </w:pPr>
            <w:r>
              <w:t>0.202(0.285)</w:t>
            </w:r>
          </w:p>
        </w:tc>
      </w:tr>
    </w:tbl>
    <w:p w:rsidR="006E6716" w:rsidRPr="00314796" w:rsidRDefault="00584AFF" w:rsidP="00E3620A">
      <w:pPr>
        <w:pStyle w:val="NoSpacing"/>
        <w:jc w:val="center"/>
      </w:pPr>
      <w:r>
        <w:t>P&gt;0.05 (NS); P&lt;0.05 (S); P&lt;0.0</w:t>
      </w:r>
      <w:r w:rsidR="00314796">
        <w:t>1 (HS)</w:t>
      </w:r>
    </w:p>
    <w:p w:rsidR="00230A6E" w:rsidRPr="002E1474" w:rsidRDefault="00E3620A" w:rsidP="00E3620A">
      <w:pPr>
        <w:pStyle w:val="NoSpacing"/>
        <w:rPr>
          <w:rFonts w:ascii="Times New Roman" w:hAnsi="Times New Roman" w:cs="Times New Roman"/>
          <w:b/>
          <w:bCs/>
          <w:sz w:val="24"/>
          <w:szCs w:val="18"/>
        </w:rPr>
      </w:pPr>
      <w:r>
        <w:rPr>
          <w:rFonts w:ascii="Times New Roman" w:hAnsi="Times New Roman" w:cs="Times New Roman"/>
          <w:sz w:val="24"/>
          <w:szCs w:val="18"/>
        </w:rPr>
        <w:t xml:space="preserve">When </w:t>
      </w:r>
      <w:r w:rsidR="00230A6E" w:rsidRPr="002E1474">
        <w:rPr>
          <w:rFonts w:ascii="Times New Roman" w:hAnsi="Times New Roman" w:cs="Times New Roman"/>
          <w:sz w:val="24"/>
          <w:szCs w:val="18"/>
        </w:rPr>
        <w:t xml:space="preserve">comparison of correlation coefficient </w:t>
      </w:r>
      <w:r>
        <w:rPr>
          <w:rFonts w:ascii="Times New Roman" w:hAnsi="Times New Roman" w:cs="Times New Roman"/>
          <w:sz w:val="24"/>
          <w:szCs w:val="18"/>
        </w:rPr>
        <w:t xml:space="preserve">between lower facial height </w:t>
      </w:r>
      <w:r w:rsidR="00C4314C">
        <w:rPr>
          <w:rFonts w:ascii="Times New Roman" w:hAnsi="Times New Roman" w:cs="Times New Roman"/>
          <w:sz w:val="24"/>
          <w:szCs w:val="18"/>
        </w:rPr>
        <w:t>of</w:t>
      </w:r>
      <w:r w:rsidR="005D1600">
        <w:rPr>
          <w:rFonts w:ascii="Times New Roman" w:hAnsi="Times New Roman" w:cs="Times New Roman"/>
          <w:sz w:val="24"/>
          <w:szCs w:val="18"/>
        </w:rPr>
        <w:t xml:space="preserve"> </w:t>
      </w:r>
      <w:r>
        <w:rPr>
          <w:rFonts w:ascii="Times New Roman" w:hAnsi="Times New Roman" w:cs="Times New Roman"/>
          <w:sz w:val="24"/>
          <w:szCs w:val="18"/>
        </w:rPr>
        <w:t>11,16,41</w:t>
      </w:r>
      <w:r w:rsidR="00230A6E" w:rsidRPr="002E1474">
        <w:rPr>
          <w:rFonts w:ascii="Times New Roman" w:hAnsi="Times New Roman" w:cs="Times New Roman"/>
          <w:sz w:val="24"/>
          <w:szCs w:val="18"/>
        </w:rPr>
        <w:t xml:space="preserve"> and 46 to males and females was </w:t>
      </w:r>
      <w:r w:rsidR="002E1474">
        <w:rPr>
          <w:rFonts w:ascii="Times New Roman" w:hAnsi="Times New Roman" w:cs="Times New Roman"/>
          <w:sz w:val="24"/>
          <w:szCs w:val="18"/>
        </w:rPr>
        <w:t xml:space="preserve">done, in </w:t>
      </w:r>
      <w:proofErr w:type="spellStart"/>
      <w:r w:rsidR="002E1474">
        <w:rPr>
          <w:rFonts w:ascii="Times New Roman" w:hAnsi="Times New Roman" w:cs="Times New Roman"/>
          <w:sz w:val="24"/>
          <w:szCs w:val="18"/>
        </w:rPr>
        <w:t>hypodivergent</w:t>
      </w:r>
      <w:proofErr w:type="spellEnd"/>
      <w:r w:rsidR="002E1474">
        <w:rPr>
          <w:rFonts w:ascii="Times New Roman" w:hAnsi="Times New Roman" w:cs="Times New Roman"/>
          <w:sz w:val="24"/>
          <w:szCs w:val="18"/>
        </w:rPr>
        <w:t xml:space="preserve"> patient 41 </w:t>
      </w:r>
      <w:r w:rsidR="005D1600">
        <w:rPr>
          <w:rFonts w:ascii="Times New Roman" w:hAnsi="Times New Roman" w:cs="Times New Roman"/>
          <w:sz w:val="24"/>
          <w:szCs w:val="18"/>
        </w:rPr>
        <w:t xml:space="preserve">was seen to be </w:t>
      </w:r>
      <w:r w:rsidR="002E1474">
        <w:rPr>
          <w:rFonts w:ascii="Times New Roman" w:hAnsi="Times New Roman" w:cs="Times New Roman"/>
          <w:sz w:val="24"/>
          <w:szCs w:val="18"/>
        </w:rPr>
        <w:t>statistical</w:t>
      </w:r>
      <w:r w:rsidR="005D1600">
        <w:rPr>
          <w:rFonts w:ascii="Times New Roman" w:hAnsi="Times New Roman" w:cs="Times New Roman"/>
          <w:sz w:val="24"/>
          <w:szCs w:val="18"/>
        </w:rPr>
        <w:t xml:space="preserve">ly highly significant </w:t>
      </w:r>
      <w:r w:rsidR="002E1474">
        <w:rPr>
          <w:rFonts w:ascii="Times New Roman" w:hAnsi="Times New Roman" w:cs="Times New Roman"/>
          <w:sz w:val="24"/>
          <w:szCs w:val="18"/>
        </w:rPr>
        <w:t xml:space="preserve"> &amp; in </w:t>
      </w:r>
      <w:proofErr w:type="spellStart"/>
      <w:r w:rsidR="002E1474">
        <w:rPr>
          <w:rFonts w:ascii="Times New Roman" w:hAnsi="Times New Roman" w:cs="Times New Roman"/>
          <w:sz w:val="24"/>
          <w:szCs w:val="18"/>
        </w:rPr>
        <w:t>hyperdivergent</w:t>
      </w:r>
      <w:proofErr w:type="spellEnd"/>
      <w:r w:rsidR="002E1474">
        <w:rPr>
          <w:rFonts w:ascii="Times New Roman" w:hAnsi="Times New Roman" w:cs="Times New Roman"/>
          <w:sz w:val="24"/>
          <w:szCs w:val="18"/>
        </w:rPr>
        <w:t xml:space="preserve"> patient </w:t>
      </w:r>
      <w:r w:rsidR="00985AE3">
        <w:rPr>
          <w:rFonts w:ascii="Times New Roman" w:hAnsi="Times New Roman" w:cs="Times New Roman"/>
          <w:sz w:val="24"/>
          <w:szCs w:val="18"/>
        </w:rPr>
        <w:t xml:space="preserve">11 &amp; 41 </w:t>
      </w:r>
      <w:r w:rsidR="005D1600">
        <w:rPr>
          <w:rFonts w:ascii="Times New Roman" w:hAnsi="Times New Roman" w:cs="Times New Roman"/>
          <w:sz w:val="24"/>
          <w:szCs w:val="18"/>
        </w:rPr>
        <w:t xml:space="preserve">were </w:t>
      </w:r>
      <w:r w:rsidR="00985AE3">
        <w:rPr>
          <w:rFonts w:ascii="Times New Roman" w:hAnsi="Times New Roman" w:cs="Times New Roman"/>
          <w:sz w:val="24"/>
          <w:szCs w:val="18"/>
        </w:rPr>
        <w:t>statistical</w:t>
      </w:r>
      <w:r w:rsidR="005D1600">
        <w:rPr>
          <w:rFonts w:ascii="Times New Roman" w:hAnsi="Times New Roman" w:cs="Times New Roman"/>
          <w:sz w:val="24"/>
          <w:szCs w:val="18"/>
        </w:rPr>
        <w:t>ly</w:t>
      </w:r>
      <w:r w:rsidR="00985AE3">
        <w:rPr>
          <w:rFonts w:ascii="Times New Roman" w:hAnsi="Times New Roman" w:cs="Times New Roman"/>
          <w:sz w:val="24"/>
          <w:szCs w:val="18"/>
        </w:rPr>
        <w:t xml:space="preserve"> significant &amp; 46 sta</w:t>
      </w:r>
      <w:r w:rsidR="00024402">
        <w:rPr>
          <w:rFonts w:ascii="Times New Roman" w:hAnsi="Times New Roman" w:cs="Times New Roman"/>
          <w:sz w:val="24"/>
          <w:szCs w:val="18"/>
        </w:rPr>
        <w:t>tistical highly significant</w:t>
      </w:r>
      <w:r w:rsidR="004D19FC">
        <w:rPr>
          <w:rFonts w:ascii="Times New Roman" w:hAnsi="Times New Roman" w:cs="Times New Roman"/>
          <w:sz w:val="24"/>
          <w:szCs w:val="18"/>
        </w:rPr>
        <w:t xml:space="preserve"> </w:t>
      </w:r>
      <w:r w:rsidR="00230A6E" w:rsidRPr="002E1474">
        <w:rPr>
          <w:rFonts w:ascii="Times New Roman" w:hAnsi="Times New Roman" w:cs="Times New Roman"/>
          <w:b/>
          <w:bCs/>
          <w:sz w:val="24"/>
          <w:szCs w:val="18"/>
        </w:rPr>
        <w:t>(Table 7)</w:t>
      </w:r>
      <w:r w:rsidR="00024402">
        <w:rPr>
          <w:rFonts w:ascii="Times New Roman" w:hAnsi="Times New Roman" w:cs="Times New Roman"/>
          <w:b/>
          <w:bCs/>
          <w:sz w:val="24"/>
          <w:szCs w:val="18"/>
        </w:rPr>
        <w:t>.</w:t>
      </w:r>
    </w:p>
    <w:p w:rsidR="00230A6E" w:rsidRPr="00230A6E" w:rsidRDefault="00230A6E" w:rsidP="00E4227C">
      <w:pPr>
        <w:autoSpaceDE w:val="0"/>
        <w:autoSpaceDN w:val="0"/>
        <w:adjustRightInd w:val="0"/>
        <w:spacing w:after="0" w:line="240" w:lineRule="auto"/>
        <w:jc w:val="center"/>
        <w:rPr>
          <w:rFonts w:ascii="Times New Roman" w:hAnsi="Times New Roman" w:cs="Times New Roman"/>
          <w:sz w:val="18"/>
          <w:szCs w:val="18"/>
        </w:rPr>
      </w:pPr>
      <w:proofErr w:type="gramStart"/>
      <w:r w:rsidRPr="00EF51C2">
        <w:rPr>
          <w:rFonts w:ascii="Times New Roman" w:hAnsi="Times New Roman" w:cs="Times New Roman"/>
          <w:b/>
          <w:sz w:val="24"/>
        </w:rPr>
        <w:t xml:space="preserve">Table </w:t>
      </w:r>
      <w:r>
        <w:rPr>
          <w:rFonts w:ascii="Times New Roman" w:hAnsi="Times New Roman" w:cs="Times New Roman"/>
          <w:b/>
          <w:sz w:val="24"/>
        </w:rPr>
        <w:t>7</w:t>
      </w:r>
      <w:r w:rsidRPr="00EF51C2">
        <w:rPr>
          <w:rFonts w:ascii="Times New Roman" w:hAnsi="Times New Roman" w:cs="Times New Roman"/>
          <w:b/>
          <w:sz w:val="24"/>
        </w:rPr>
        <w:t>.</w:t>
      </w:r>
      <w:proofErr w:type="gramEnd"/>
      <w:r w:rsidRPr="00EF51C2">
        <w:rPr>
          <w:rFonts w:ascii="Times New Roman" w:hAnsi="Times New Roman" w:cs="Times New Roman"/>
          <w:b/>
          <w:sz w:val="24"/>
        </w:rPr>
        <w:t xml:space="preserve"> </w:t>
      </w:r>
      <w:r>
        <w:rPr>
          <w:rFonts w:ascii="Times New Roman" w:hAnsi="Times New Roman" w:cs="Times New Roman"/>
          <w:b/>
          <w:sz w:val="24"/>
        </w:rPr>
        <w:t xml:space="preserve">Comparison of </w:t>
      </w:r>
      <w:r w:rsidRPr="00EF51C2">
        <w:rPr>
          <w:rFonts w:ascii="Times New Roman" w:hAnsi="Times New Roman" w:cs="Times New Roman"/>
          <w:b/>
          <w:sz w:val="24"/>
        </w:rPr>
        <w:t xml:space="preserve">correlation coefficient </w:t>
      </w:r>
      <w:proofErr w:type="gramStart"/>
      <w:r w:rsidRPr="00EF51C2">
        <w:rPr>
          <w:rFonts w:ascii="Times New Roman" w:hAnsi="Times New Roman" w:cs="Times New Roman"/>
          <w:b/>
          <w:sz w:val="24"/>
        </w:rPr>
        <w:t>( p</w:t>
      </w:r>
      <w:proofErr w:type="gramEnd"/>
      <w:r w:rsidRPr="00EF51C2">
        <w:rPr>
          <w:rFonts w:ascii="Times New Roman" w:hAnsi="Times New Roman" w:cs="Times New Roman"/>
          <w:b/>
          <w:sz w:val="24"/>
        </w:rPr>
        <w:t xml:space="preserve">-value) soft tissue lower facial height for </w:t>
      </w:r>
      <w:r>
        <w:rPr>
          <w:rFonts w:ascii="Times New Roman" w:hAnsi="Times New Roman" w:cs="Times New Roman"/>
          <w:b/>
          <w:sz w:val="24"/>
        </w:rPr>
        <w:t>male and fe</w:t>
      </w:r>
      <w:r w:rsidRPr="00EF51C2">
        <w:rPr>
          <w:rFonts w:ascii="Times New Roman" w:hAnsi="Times New Roman" w:cs="Times New Roman"/>
          <w:b/>
          <w:sz w:val="24"/>
        </w:rPr>
        <w:t>male</w:t>
      </w:r>
    </w:p>
    <w:tbl>
      <w:tblPr>
        <w:tblStyle w:val="TableGrid"/>
        <w:tblW w:w="8910" w:type="dxa"/>
        <w:tblInd w:w="378" w:type="dxa"/>
        <w:tblLayout w:type="fixed"/>
        <w:tblLook w:val="04A0" w:firstRow="1" w:lastRow="0" w:firstColumn="1" w:lastColumn="0" w:noHBand="0" w:noVBand="1"/>
      </w:tblPr>
      <w:tblGrid>
        <w:gridCol w:w="990"/>
        <w:gridCol w:w="810"/>
        <w:gridCol w:w="930"/>
        <w:gridCol w:w="870"/>
        <w:gridCol w:w="720"/>
        <w:gridCol w:w="900"/>
        <w:gridCol w:w="990"/>
        <w:gridCol w:w="810"/>
        <w:gridCol w:w="900"/>
        <w:gridCol w:w="990"/>
      </w:tblGrid>
      <w:tr w:rsidR="00985AE3" w:rsidTr="00024402">
        <w:trPr>
          <w:trHeight w:val="195"/>
        </w:trPr>
        <w:tc>
          <w:tcPr>
            <w:tcW w:w="990" w:type="dxa"/>
          </w:tcPr>
          <w:p w:rsidR="00985AE3" w:rsidRDefault="00985AE3" w:rsidP="00985AE3">
            <w:pPr>
              <w:jc w:val="both"/>
            </w:pPr>
          </w:p>
        </w:tc>
        <w:tc>
          <w:tcPr>
            <w:tcW w:w="2610" w:type="dxa"/>
            <w:gridSpan w:val="3"/>
            <w:vAlign w:val="bottom"/>
          </w:tcPr>
          <w:p w:rsidR="00985AE3" w:rsidRPr="0006205B" w:rsidRDefault="00985AE3" w:rsidP="00024402">
            <w:pPr>
              <w:jc w:val="center"/>
              <w:rPr>
                <w:rFonts w:ascii="Calibri" w:eastAsia="Times New Roman" w:hAnsi="Calibri" w:cs="Calibri"/>
                <w:color w:val="000000"/>
              </w:rPr>
            </w:pPr>
            <w:proofErr w:type="spellStart"/>
            <w:r>
              <w:rPr>
                <w:rFonts w:ascii="Times New Roman" w:hAnsi="Times New Roman" w:cs="Times New Roman"/>
                <w:szCs w:val="24"/>
              </w:rPr>
              <w:t>Normodivergent</w:t>
            </w:r>
            <w:proofErr w:type="spellEnd"/>
          </w:p>
        </w:tc>
        <w:tc>
          <w:tcPr>
            <w:tcW w:w="2610" w:type="dxa"/>
            <w:gridSpan w:val="3"/>
            <w:vAlign w:val="bottom"/>
          </w:tcPr>
          <w:p w:rsidR="00985AE3" w:rsidRPr="0006205B" w:rsidRDefault="00985AE3" w:rsidP="00024402">
            <w:pPr>
              <w:jc w:val="center"/>
              <w:rPr>
                <w:rFonts w:ascii="Calibri" w:eastAsia="Times New Roman" w:hAnsi="Calibri" w:cs="Calibri"/>
                <w:color w:val="000000"/>
              </w:rPr>
            </w:pPr>
            <w:proofErr w:type="spellStart"/>
            <w:r>
              <w:rPr>
                <w:rFonts w:ascii="Times New Roman" w:hAnsi="Times New Roman" w:cs="Times New Roman"/>
                <w:szCs w:val="24"/>
              </w:rPr>
              <w:t>Hypodivergent</w:t>
            </w:r>
            <w:proofErr w:type="spellEnd"/>
          </w:p>
        </w:tc>
        <w:tc>
          <w:tcPr>
            <w:tcW w:w="2700" w:type="dxa"/>
            <w:gridSpan w:val="3"/>
            <w:vAlign w:val="bottom"/>
          </w:tcPr>
          <w:p w:rsidR="00985AE3" w:rsidRDefault="00985AE3" w:rsidP="00024402">
            <w:pPr>
              <w:jc w:val="center"/>
              <w:rPr>
                <w:rFonts w:ascii="Times New Roman" w:hAnsi="Times New Roman" w:cs="Times New Roman"/>
                <w:szCs w:val="24"/>
              </w:rPr>
            </w:pPr>
            <w:proofErr w:type="spellStart"/>
            <w:r>
              <w:rPr>
                <w:rFonts w:ascii="Times New Roman" w:hAnsi="Times New Roman" w:cs="Times New Roman"/>
                <w:szCs w:val="24"/>
              </w:rPr>
              <w:t>Hyperdivergent</w:t>
            </w:r>
            <w:proofErr w:type="spellEnd"/>
          </w:p>
        </w:tc>
      </w:tr>
      <w:tr w:rsidR="00985AE3" w:rsidTr="00024402">
        <w:trPr>
          <w:trHeight w:val="285"/>
        </w:trPr>
        <w:tc>
          <w:tcPr>
            <w:tcW w:w="990" w:type="dxa"/>
            <w:vMerge w:val="restart"/>
          </w:tcPr>
          <w:p w:rsidR="00985AE3" w:rsidRDefault="00985AE3" w:rsidP="00985AE3">
            <w:pPr>
              <w:jc w:val="both"/>
            </w:pPr>
            <w:r>
              <w:t>Tooth no.</w:t>
            </w:r>
          </w:p>
        </w:tc>
        <w:tc>
          <w:tcPr>
            <w:tcW w:w="2610" w:type="dxa"/>
            <w:gridSpan w:val="3"/>
          </w:tcPr>
          <w:p w:rsidR="00985AE3" w:rsidRDefault="00985AE3" w:rsidP="00024402">
            <w:pPr>
              <w:jc w:val="center"/>
            </w:pPr>
            <w:r>
              <w:t>Lower facial height</w:t>
            </w:r>
          </w:p>
        </w:tc>
        <w:tc>
          <w:tcPr>
            <w:tcW w:w="2610" w:type="dxa"/>
            <w:gridSpan w:val="3"/>
          </w:tcPr>
          <w:p w:rsidR="00985AE3" w:rsidRDefault="00985AE3" w:rsidP="00024402">
            <w:pPr>
              <w:jc w:val="center"/>
            </w:pPr>
            <w:r>
              <w:t>Lower facial height</w:t>
            </w:r>
          </w:p>
        </w:tc>
        <w:tc>
          <w:tcPr>
            <w:tcW w:w="2700" w:type="dxa"/>
            <w:gridSpan w:val="3"/>
          </w:tcPr>
          <w:p w:rsidR="00985AE3" w:rsidRDefault="00985AE3" w:rsidP="00024402">
            <w:pPr>
              <w:jc w:val="center"/>
            </w:pPr>
            <w:r>
              <w:t>Lower facial height</w:t>
            </w:r>
          </w:p>
        </w:tc>
      </w:tr>
      <w:tr w:rsidR="00985AE3" w:rsidTr="00024402">
        <w:trPr>
          <w:trHeight w:val="237"/>
        </w:trPr>
        <w:tc>
          <w:tcPr>
            <w:tcW w:w="990" w:type="dxa"/>
            <w:vMerge/>
          </w:tcPr>
          <w:p w:rsidR="00985AE3" w:rsidRDefault="00985AE3" w:rsidP="00985AE3">
            <w:pPr>
              <w:jc w:val="both"/>
            </w:pPr>
          </w:p>
        </w:tc>
        <w:tc>
          <w:tcPr>
            <w:tcW w:w="810" w:type="dxa"/>
          </w:tcPr>
          <w:p w:rsidR="00985AE3" w:rsidRDefault="00985AE3" w:rsidP="00024402">
            <w:pPr>
              <w:jc w:val="center"/>
            </w:pPr>
            <w:r>
              <w:t>male</w:t>
            </w:r>
          </w:p>
        </w:tc>
        <w:tc>
          <w:tcPr>
            <w:tcW w:w="930" w:type="dxa"/>
          </w:tcPr>
          <w:p w:rsidR="00985AE3" w:rsidRDefault="00985349" w:rsidP="00024402">
            <w:pPr>
              <w:jc w:val="center"/>
            </w:pPr>
            <w:r>
              <w:t>F</w:t>
            </w:r>
            <w:r w:rsidR="00985AE3">
              <w:t>emale</w:t>
            </w:r>
          </w:p>
        </w:tc>
        <w:tc>
          <w:tcPr>
            <w:tcW w:w="870" w:type="dxa"/>
          </w:tcPr>
          <w:p w:rsidR="00985AE3" w:rsidRDefault="00985AE3" w:rsidP="00024402">
            <w:pPr>
              <w:jc w:val="center"/>
            </w:pPr>
            <w:r>
              <w:t>P value</w:t>
            </w:r>
          </w:p>
        </w:tc>
        <w:tc>
          <w:tcPr>
            <w:tcW w:w="720" w:type="dxa"/>
          </w:tcPr>
          <w:p w:rsidR="00985AE3" w:rsidRDefault="00985AE3" w:rsidP="00024402">
            <w:pPr>
              <w:jc w:val="center"/>
            </w:pPr>
            <w:r>
              <w:t>male</w:t>
            </w:r>
          </w:p>
        </w:tc>
        <w:tc>
          <w:tcPr>
            <w:tcW w:w="900" w:type="dxa"/>
          </w:tcPr>
          <w:p w:rsidR="00985AE3" w:rsidRDefault="00985AE3" w:rsidP="00024402">
            <w:pPr>
              <w:jc w:val="center"/>
            </w:pPr>
            <w:r>
              <w:t>female</w:t>
            </w:r>
          </w:p>
        </w:tc>
        <w:tc>
          <w:tcPr>
            <w:tcW w:w="990" w:type="dxa"/>
          </w:tcPr>
          <w:p w:rsidR="00985AE3" w:rsidRDefault="00985AE3" w:rsidP="00024402">
            <w:pPr>
              <w:jc w:val="center"/>
            </w:pPr>
            <w:r>
              <w:t>P value</w:t>
            </w:r>
          </w:p>
        </w:tc>
        <w:tc>
          <w:tcPr>
            <w:tcW w:w="810" w:type="dxa"/>
          </w:tcPr>
          <w:p w:rsidR="00985AE3" w:rsidRDefault="00C4314C" w:rsidP="00024402">
            <w:pPr>
              <w:jc w:val="center"/>
            </w:pPr>
            <w:r>
              <w:t>M</w:t>
            </w:r>
            <w:r w:rsidR="00985AE3">
              <w:t>ale</w:t>
            </w:r>
          </w:p>
        </w:tc>
        <w:tc>
          <w:tcPr>
            <w:tcW w:w="900" w:type="dxa"/>
          </w:tcPr>
          <w:p w:rsidR="00985AE3" w:rsidRDefault="00314796" w:rsidP="00024402">
            <w:pPr>
              <w:jc w:val="center"/>
            </w:pPr>
            <w:r>
              <w:t>F</w:t>
            </w:r>
            <w:r w:rsidR="00985AE3">
              <w:t>emale</w:t>
            </w:r>
          </w:p>
        </w:tc>
        <w:tc>
          <w:tcPr>
            <w:tcW w:w="990" w:type="dxa"/>
          </w:tcPr>
          <w:p w:rsidR="00985AE3" w:rsidRDefault="00985AE3" w:rsidP="00024402">
            <w:pPr>
              <w:jc w:val="center"/>
            </w:pPr>
            <w:r>
              <w:t>P vale</w:t>
            </w:r>
          </w:p>
        </w:tc>
      </w:tr>
      <w:tr w:rsidR="00985AE3" w:rsidTr="00024402">
        <w:trPr>
          <w:trHeight w:val="254"/>
        </w:trPr>
        <w:tc>
          <w:tcPr>
            <w:tcW w:w="990" w:type="dxa"/>
          </w:tcPr>
          <w:p w:rsidR="00985AE3" w:rsidRDefault="00985AE3" w:rsidP="00985AE3">
            <w:pPr>
              <w:jc w:val="both"/>
            </w:pPr>
            <w:r>
              <w:t>11</w:t>
            </w:r>
          </w:p>
        </w:tc>
        <w:tc>
          <w:tcPr>
            <w:tcW w:w="810" w:type="dxa"/>
          </w:tcPr>
          <w:p w:rsidR="00985AE3" w:rsidRDefault="00985AE3" w:rsidP="00024402">
            <w:pPr>
              <w:jc w:val="center"/>
            </w:pPr>
            <w:r>
              <w:t>-0.004</w:t>
            </w:r>
          </w:p>
        </w:tc>
        <w:tc>
          <w:tcPr>
            <w:tcW w:w="930" w:type="dxa"/>
          </w:tcPr>
          <w:p w:rsidR="00985AE3" w:rsidRDefault="00985AE3" w:rsidP="00024402">
            <w:pPr>
              <w:jc w:val="center"/>
            </w:pPr>
            <w:r>
              <w:t>0.092</w:t>
            </w:r>
          </w:p>
        </w:tc>
        <w:tc>
          <w:tcPr>
            <w:tcW w:w="870" w:type="dxa"/>
          </w:tcPr>
          <w:p w:rsidR="00985AE3" w:rsidRDefault="00985AE3" w:rsidP="00024402">
            <w:pPr>
              <w:jc w:val="center"/>
            </w:pPr>
            <w:r>
              <w:t>0.647</w:t>
            </w:r>
          </w:p>
        </w:tc>
        <w:tc>
          <w:tcPr>
            <w:tcW w:w="720" w:type="dxa"/>
          </w:tcPr>
          <w:p w:rsidR="00985AE3" w:rsidRDefault="00985AE3" w:rsidP="00024402">
            <w:pPr>
              <w:jc w:val="center"/>
            </w:pPr>
            <w:r>
              <w:t>0.283</w:t>
            </w:r>
          </w:p>
        </w:tc>
        <w:tc>
          <w:tcPr>
            <w:tcW w:w="900" w:type="dxa"/>
          </w:tcPr>
          <w:p w:rsidR="00985AE3" w:rsidRDefault="00985AE3" w:rsidP="00024402">
            <w:pPr>
              <w:jc w:val="center"/>
            </w:pPr>
            <w:r>
              <w:t>0.115</w:t>
            </w:r>
          </w:p>
        </w:tc>
        <w:tc>
          <w:tcPr>
            <w:tcW w:w="990" w:type="dxa"/>
          </w:tcPr>
          <w:p w:rsidR="00985AE3" w:rsidRDefault="00985AE3" w:rsidP="00024402">
            <w:pPr>
              <w:jc w:val="center"/>
            </w:pPr>
            <w:r>
              <w:t>0.072</w:t>
            </w:r>
          </w:p>
        </w:tc>
        <w:tc>
          <w:tcPr>
            <w:tcW w:w="810" w:type="dxa"/>
          </w:tcPr>
          <w:p w:rsidR="00985AE3" w:rsidRDefault="00985AE3" w:rsidP="00024402">
            <w:pPr>
              <w:jc w:val="center"/>
            </w:pPr>
            <w:r>
              <w:t>0.373</w:t>
            </w:r>
          </w:p>
        </w:tc>
        <w:tc>
          <w:tcPr>
            <w:tcW w:w="900" w:type="dxa"/>
          </w:tcPr>
          <w:p w:rsidR="00985AE3" w:rsidRDefault="00985AE3" w:rsidP="00024402">
            <w:pPr>
              <w:jc w:val="center"/>
            </w:pPr>
            <w:r>
              <w:t>0.098</w:t>
            </w:r>
          </w:p>
        </w:tc>
        <w:tc>
          <w:tcPr>
            <w:tcW w:w="990" w:type="dxa"/>
          </w:tcPr>
          <w:p w:rsidR="00985AE3" w:rsidRDefault="00985AE3" w:rsidP="00024402">
            <w:pPr>
              <w:jc w:val="center"/>
            </w:pPr>
            <w:r>
              <w:t>0.018*</w:t>
            </w:r>
          </w:p>
        </w:tc>
      </w:tr>
      <w:tr w:rsidR="00985AE3" w:rsidTr="00024402">
        <w:trPr>
          <w:trHeight w:val="269"/>
        </w:trPr>
        <w:tc>
          <w:tcPr>
            <w:tcW w:w="990" w:type="dxa"/>
          </w:tcPr>
          <w:p w:rsidR="00985AE3" w:rsidRDefault="00985AE3" w:rsidP="00985AE3">
            <w:pPr>
              <w:jc w:val="both"/>
            </w:pPr>
            <w:r>
              <w:t>16</w:t>
            </w:r>
          </w:p>
        </w:tc>
        <w:tc>
          <w:tcPr>
            <w:tcW w:w="810" w:type="dxa"/>
          </w:tcPr>
          <w:p w:rsidR="00985AE3" w:rsidRDefault="00985AE3" w:rsidP="00024402">
            <w:pPr>
              <w:jc w:val="center"/>
            </w:pPr>
            <w:r>
              <w:t>0.193</w:t>
            </w:r>
          </w:p>
        </w:tc>
        <w:tc>
          <w:tcPr>
            <w:tcW w:w="930" w:type="dxa"/>
          </w:tcPr>
          <w:p w:rsidR="00985AE3" w:rsidRDefault="00985AE3" w:rsidP="00024402">
            <w:pPr>
              <w:jc w:val="center"/>
            </w:pPr>
            <w:r>
              <w:t>0.090</w:t>
            </w:r>
          </w:p>
        </w:tc>
        <w:tc>
          <w:tcPr>
            <w:tcW w:w="870" w:type="dxa"/>
          </w:tcPr>
          <w:p w:rsidR="00985AE3" w:rsidRDefault="00985AE3" w:rsidP="00024402">
            <w:pPr>
              <w:jc w:val="center"/>
            </w:pPr>
            <w:r>
              <w:t>0.200</w:t>
            </w:r>
          </w:p>
        </w:tc>
        <w:tc>
          <w:tcPr>
            <w:tcW w:w="720" w:type="dxa"/>
          </w:tcPr>
          <w:p w:rsidR="00985AE3" w:rsidRDefault="00985AE3" w:rsidP="00024402">
            <w:pPr>
              <w:jc w:val="center"/>
            </w:pPr>
            <w:r>
              <w:t>0.283</w:t>
            </w:r>
          </w:p>
        </w:tc>
        <w:tc>
          <w:tcPr>
            <w:tcW w:w="900" w:type="dxa"/>
          </w:tcPr>
          <w:p w:rsidR="00985AE3" w:rsidRDefault="00985AE3" w:rsidP="00024402">
            <w:pPr>
              <w:jc w:val="center"/>
            </w:pPr>
            <w:r>
              <w:t>0.018</w:t>
            </w:r>
          </w:p>
        </w:tc>
        <w:tc>
          <w:tcPr>
            <w:tcW w:w="990" w:type="dxa"/>
          </w:tcPr>
          <w:p w:rsidR="00985AE3" w:rsidRDefault="00985AE3" w:rsidP="00024402">
            <w:pPr>
              <w:jc w:val="center"/>
            </w:pPr>
            <w:r>
              <w:t>0.113</w:t>
            </w:r>
          </w:p>
        </w:tc>
        <w:tc>
          <w:tcPr>
            <w:tcW w:w="810" w:type="dxa"/>
          </w:tcPr>
          <w:p w:rsidR="00985AE3" w:rsidRDefault="00985AE3" w:rsidP="00024402">
            <w:pPr>
              <w:jc w:val="center"/>
            </w:pPr>
            <w:r>
              <w:t>0.220</w:t>
            </w:r>
          </w:p>
        </w:tc>
        <w:tc>
          <w:tcPr>
            <w:tcW w:w="900" w:type="dxa"/>
          </w:tcPr>
          <w:p w:rsidR="00985AE3" w:rsidRDefault="00985AE3" w:rsidP="00024402">
            <w:pPr>
              <w:jc w:val="center"/>
            </w:pPr>
            <w:r>
              <w:t>0.057</w:t>
            </w:r>
          </w:p>
        </w:tc>
        <w:tc>
          <w:tcPr>
            <w:tcW w:w="990" w:type="dxa"/>
          </w:tcPr>
          <w:p w:rsidR="00985AE3" w:rsidRDefault="00985AE3" w:rsidP="00024402">
            <w:pPr>
              <w:jc w:val="center"/>
            </w:pPr>
            <w:r>
              <w:t>0.214</w:t>
            </w:r>
          </w:p>
        </w:tc>
      </w:tr>
      <w:tr w:rsidR="00985AE3" w:rsidTr="00024402">
        <w:trPr>
          <w:trHeight w:val="254"/>
        </w:trPr>
        <w:tc>
          <w:tcPr>
            <w:tcW w:w="990" w:type="dxa"/>
          </w:tcPr>
          <w:p w:rsidR="00985AE3" w:rsidRDefault="00985AE3" w:rsidP="00985AE3">
            <w:pPr>
              <w:jc w:val="both"/>
            </w:pPr>
            <w:r>
              <w:t>41</w:t>
            </w:r>
          </w:p>
        </w:tc>
        <w:tc>
          <w:tcPr>
            <w:tcW w:w="810" w:type="dxa"/>
          </w:tcPr>
          <w:p w:rsidR="00985AE3" w:rsidRDefault="00985AE3" w:rsidP="00024402">
            <w:pPr>
              <w:jc w:val="center"/>
            </w:pPr>
            <w:r>
              <w:t>0.080</w:t>
            </w:r>
          </w:p>
        </w:tc>
        <w:tc>
          <w:tcPr>
            <w:tcW w:w="930" w:type="dxa"/>
          </w:tcPr>
          <w:p w:rsidR="00985AE3" w:rsidRDefault="00985AE3" w:rsidP="00024402">
            <w:pPr>
              <w:jc w:val="center"/>
            </w:pPr>
            <w:r>
              <w:t>-0.231</w:t>
            </w:r>
          </w:p>
        </w:tc>
        <w:tc>
          <w:tcPr>
            <w:tcW w:w="870" w:type="dxa"/>
          </w:tcPr>
          <w:p w:rsidR="00985AE3" w:rsidRDefault="00985AE3" w:rsidP="00024402">
            <w:pPr>
              <w:jc w:val="center"/>
            </w:pPr>
            <w:r>
              <w:t>0.478</w:t>
            </w:r>
          </w:p>
        </w:tc>
        <w:tc>
          <w:tcPr>
            <w:tcW w:w="720" w:type="dxa"/>
          </w:tcPr>
          <w:p w:rsidR="00985AE3" w:rsidRDefault="00985AE3" w:rsidP="00024402">
            <w:pPr>
              <w:jc w:val="center"/>
            </w:pPr>
            <w:r>
              <w:t>0.534</w:t>
            </w:r>
          </w:p>
        </w:tc>
        <w:tc>
          <w:tcPr>
            <w:tcW w:w="900" w:type="dxa"/>
          </w:tcPr>
          <w:p w:rsidR="00985AE3" w:rsidRDefault="00985AE3" w:rsidP="00024402">
            <w:pPr>
              <w:jc w:val="center"/>
            </w:pPr>
            <w:r>
              <w:t>0.433</w:t>
            </w:r>
          </w:p>
        </w:tc>
        <w:tc>
          <w:tcPr>
            <w:tcW w:w="990" w:type="dxa"/>
          </w:tcPr>
          <w:p w:rsidR="00985AE3" w:rsidRDefault="00985AE3" w:rsidP="00024402">
            <w:pPr>
              <w:jc w:val="center"/>
            </w:pPr>
            <w:r>
              <w:t>0.000**</w:t>
            </w:r>
          </w:p>
        </w:tc>
        <w:tc>
          <w:tcPr>
            <w:tcW w:w="810" w:type="dxa"/>
          </w:tcPr>
          <w:p w:rsidR="00985AE3" w:rsidRDefault="00985AE3" w:rsidP="00024402">
            <w:pPr>
              <w:jc w:val="center"/>
            </w:pPr>
            <w:r>
              <w:t>0.380</w:t>
            </w:r>
          </w:p>
        </w:tc>
        <w:tc>
          <w:tcPr>
            <w:tcW w:w="900" w:type="dxa"/>
          </w:tcPr>
          <w:p w:rsidR="00985AE3" w:rsidRDefault="00985AE3" w:rsidP="00024402">
            <w:pPr>
              <w:jc w:val="center"/>
            </w:pPr>
            <w:r>
              <w:t>0.393</w:t>
            </w:r>
          </w:p>
        </w:tc>
        <w:tc>
          <w:tcPr>
            <w:tcW w:w="990" w:type="dxa"/>
          </w:tcPr>
          <w:p w:rsidR="00985AE3" w:rsidRDefault="00985AE3" w:rsidP="00024402">
            <w:pPr>
              <w:jc w:val="center"/>
            </w:pPr>
            <w:r>
              <w:t>0.015*</w:t>
            </w:r>
          </w:p>
        </w:tc>
      </w:tr>
      <w:tr w:rsidR="00985AE3" w:rsidTr="00024402">
        <w:trPr>
          <w:trHeight w:val="269"/>
        </w:trPr>
        <w:tc>
          <w:tcPr>
            <w:tcW w:w="990" w:type="dxa"/>
          </w:tcPr>
          <w:p w:rsidR="00985AE3" w:rsidRDefault="00985AE3" w:rsidP="00985AE3">
            <w:pPr>
              <w:jc w:val="both"/>
            </w:pPr>
            <w:r>
              <w:t>46</w:t>
            </w:r>
          </w:p>
        </w:tc>
        <w:tc>
          <w:tcPr>
            <w:tcW w:w="810" w:type="dxa"/>
          </w:tcPr>
          <w:p w:rsidR="00985AE3" w:rsidRDefault="00985AE3" w:rsidP="00024402">
            <w:pPr>
              <w:jc w:val="center"/>
            </w:pPr>
            <w:r>
              <w:t>0.136</w:t>
            </w:r>
          </w:p>
        </w:tc>
        <w:tc>
          <w:tcPr>
            <w:tcW w:w="930" w:type="dxa"/>
          </w:tcPr>
          <w:p w:rsidR="00985AE3" w:rsidRDefault="00985AE3" w:rsidP="00024402">
            <w:pPr>
              <w:jc w:val="center"/>
            </w:pPr>
            <w:r>
              <w:t>0.044</w:t>
            </w:r>
          </w:p>
        </w:tc>
        <w:tc>
          <w:tcPr>
            <w:tcW w:w="870" w:type="dxa"/>
          </w:tcPr>
          <w:p w:rsidR="00985AE3" w:rsidRDefault="00985AE3" w:rsidP="00024402">
            <w:pPr>
              <w:jc w:val="center"/>
            </w:pPr>
            <w:r>
              <w:t>0.493</w:t>
            </w:r>
          </w:p>
        </w:tc>
        <w:tc>
          <w:tcPr>
            <w:tcW w:w="720" w:type="dxa"/>
          </w:tcPr>
          <w:p w:rsidR="00985AE3" w:rsidRDefault="00985AE3" w:rsidP="00024402">
            <w:pPr>
              <w:jc w:val="center"/>
            </w:pPr>
            <w:r>
              <w:t>0.150</w:t>
            </w:r>
          </w:p>
        </w:tc>
        <w:tc>
          <w:tcPr>
            <w:tcW w:w="900" w:type="dxa"/>
          </w:tcPr>
          <w:p w:rsidR="00985AE3" w:rsidRDefault="00985AE3" w:rsidP="00024402">
            <w:pPr>
              <w:jc w:val="center"/>
            </w:pPr>
            <w:r>
              <w:t>-0.048</w:t>
            </w:r>
          </w:p>
        </w:tc>
        <w:tc>
          <w:tcPr>
            <w:tcW w:w="990" w:type="dxa"/>
          </w:tcPr>
          <w:p w:rsidR="00985AE3" w:rsidRDefault="00985AE3" w:rsidP="00024402">
            <w:pPr>
              <w:jc w:val="center"/>
            </w:pPr>
            <w:r>
              <w:t>0.630</w:t>
            </w:r>
          </w:p>
        </w:tc>
        <w:tc>
          <w:tcPr>
            <w:tcW w:w="810" w:type="dxa"/>
          </w:tcPr>
          <w:p w:rsidR="00985AE3" w:rsidRDefault="00985AE3" w:rsidP="00024402">
            <w:pPr>
              <w:jc w:val="center"/>
            </w:pPr>
            <w:r>
              <w:t>0.480</w:t>
            </w:r>
          </w:p>
        </w:tc>
        <w:tc>
          <w:tcPr>
            <w:tcW w:w="900" w:type="dxa"/>
          </w:tcPr>
          <w:p w:rsidR="00985AE3" w:rsidRDefault="00985AE3" w:rsidP="00024402">
            <w:pPr>
              <w:jc w:val="center"/>
            </w:pPr>
            <w:r>
              <w:t>0.202</w:t>
            </w:r>
          </w:p>
        </w:tc>
        <w:tc>
          <w:tcPr>
            <w:tcW w:w="990" w:type="dxa"/>
          </w:tcPr>
          <w:p w:rsidR="00985AE3" w:rsidRDefault="00985AE3" w:rsidP="00024402">
            <w:pPr>
              <w:jc w:val="center"/>
            </w:pPr>
            <w:r>
              <w:t>0.007**</w:t>
            </w:r>
          </w:p>
        </w:tc>
      </w:tr>
    </w:tbl>
    <w:p w:rsidR="003F4AD5" w:rsidRPr="00C318F8" w:rsidRDefault="00584AFF" w:rsidP="00E4227C">
      <w:pPr>
        <w:jc w:val="center"/>
      </w:pPr>
      <w:r>
        <w:t>P&gt;0.05 (NS); P&lt;0.05 (S); P&lt;0.0</w:t>
      </w:r>
      <w:r w:rsidR="00985AE3">
        <w:t>1 (HS)</w:t>
      </w:r>
    </w:p>
    <w:p w:rsidR="00693CC0" w:rsidRDefault="00693CC0" w:rsidP="00985AE3">
      <w:pPr>
        <w:autoSpaceDE w:val="0"/>
        <w:autoSpaceDN w:val="0"/>
        <w:adjustRightInd w:val="0"/>
        <w:spacing w:after="0" w:line="240" w:lineRule="auto"/>
        <w:jc w:val="both"/>
        <w:rPr>
          <w:rFonts w:ascii="Times New Roman" w:hAnsi="Times New Roman" w:cs="Times New Roman"/>
          <w:b/>
          <w:bCs/>
          <w:sz w:val="24"/>
          <w:szCs w:val="18"/>
        </w:rPr>
      </w:pPr>
      <w:r>
        <w:rPr>
          <w:rFonts w:ascii="Times New Roman" w:hAnsi="Times New Roman" w:cs="Times New Roman"/>
          <w:b/>
          <w:bCs/>
          <w:sz w:val="24"/>
          <w:szCs w:val="18"/>
        </w:rPr>
        <w:t>Discussion</w:t>
      </w:r>
    </w:p>
    <w:p w:rsidR="00693CC0" w:rsidRPr="00AE1B94" w:rsidRDefault="00693CC0" w:rsidP="00AE1B94">
      <w:pPr>
        <w:autoSpaceDE w:val="0"/>
        <w:autoSpaceDN w:val="0"/>
        <w:adjustRightInd w:val="0"/>
        <w:spacing w:after="0" w:line="240" w:lineRule="auto"/>
        <w:jc w:val="both"/>
        <w:rPr>
          <w:rFonts w:ascii="Times New Roman" w:hAnsi="Times New Roman" w:cs="Times New Roman"/>
          <w:sz w:val="24"/>
          <w:szCs w:val="24"/>
          <w:vertAlign w:val="superscript"/>
        </w:rPr>
      </w:pPr>
      <w:r w:rsidRPr="00AE1B94">
        <w:rPr>
          <w:rFonts w:ascii="Times New Roman" w:hAnsi="Times New Roman" w:cs="Times New Roman"/>
          <w:sz w:val="24"/>
          <w:szCs w:val="24"/>
        </w:rPr>
        <w:t>A perfect smile is an important component of esthetics and</w:t>
      </w:r>
      <w:r w:rsidR="00E76077" w:rsidRPr="00AE1B94">
        <w:rPr>
          <w:rFonts w:ascii="Times New Roman" w:hAnsi="Times New Roman" w:cs="Times New Roman"/>
          <w:sz w:val="24"/>
          <w:szCs w:val="24"/>
        </w:rPr>
        <w:t xml:space="preserve"> </w:t>
      </w:r>
      <w:r w:rsidRPr="00AE1B94">
        <w:rPr>
          <w:rFonts w:ascii="Times New Roman" w:hAnsi="Times New Roman" w:cs="Times New Roman"/>
          <w:sz w:val="24"/>
          <w:szCs w:val="24"/>
        </w:rPr>
        <w:t>this goes beyond having whi</w:t>
      </w:r>
      <w:r w:rsidR="00E76077" w:rsidRPr="00AE1B94">
        <w:rPr>
          <w:rFonts w:ascii="Times New Roman" w:hAnsi="Times New Roman" w:cs="Times New Roman"/>
          <w:sz w:val="24"/>
          <w:szCs w:val="24"/>
        </w:rPr>
        <w:t xml:space="preserve">te and straight teeth. Vertical </w:t>
      </w:r>
      <w:r w:rsidRPr="00AE1B94">
        <w:rPr>
          <w:rFonts w:ascii="Times New Roman" w:hAnsi="Times New Roman" w:cs="Times New Roman"/>
          <w:sz w:val="24"/>
          <w:szCs w:val="24"/>
        </w:rPr>
        <w:t>proportions of both face and denti</w:t>
      </w:r>
      <w:r w:rsidR="00E76077" w:rsidRPr="00AE1B94">
        <w:rPr>
          <w:rFonts w:ascii="Times New Roman" w:hAnsi="Times New Roman" w:cs="Times New Roman"/>
          <w:sz w:val="24"/>
          <w:szCs w:val="24"/>
        </w:rPr>
        <w:t xml:space="preserve">tion play a significant role to </w:t>
      </w:r>
      <w:r w:rsidRPr="00AE1B94">
        <w:rPr>
          <w:rFonts w:ascii="Times New Roman" w:hAnsi="Times New Roman" w:cs="Times New Roman"/>
          <w:sz w:val="24"/>
          <w:szCs w:val="24"/>
        </w:rPr>
        <w:t>determine the facial attractiveness and identity of an individual.</w:t>
      </w:r>
      <w:r w:rsidR="00CB007E">
        <w:rPr>
          <w:rFonts w:ascii="Times New Roman" w:hAnsi="Times New Roman" w:cs="Times New Roman"/>
          <w:sz w:val="24"/>
          <w:szCs w:val="24"/>
          <w:vertAlign w:val="superscript"/>
        </w:rPr>
        <w:t>1</w:t>
      </w:r>
      <w:r w:rsidR="00E76077" w:rsidRPr="00AE1B94">
        <w:rPr>
          <w:rFonts w:ascii="Times New Roman" w:hAnsi="Times New Roman" w:cs="Times New Roman"/>
          <w:sz w:val="24"/>
          <w:szCs w:val="24"/>
        </w:rPr>
        <w:t xml:space="preserve"> </w:t>
      </w:r>
      <w:r w:rsidRPr="00AE1B94">
        <w:rPr>
          <w:rFonts w:ascii="Times New Roman" w:hAnsi="Times New Roman" w:cs="Times New Roman"/>
          <w:sz w:val="24"/>
          <w:szCs w:val="24"/>
        </w:rPr>
        <w:t>The proportion of facial structur</w:t>
      </w:r>
      <w:r w:rsidR="00E76077" w:rsidRPr="00AE1B94">
        <w:rPr>
          <w:rFonts w:ascii="Times New Roman" w:hAnsi="Times New Roman" w:cs="Times New Roman"/>
          <w:sz w:val="24"/>
          <w:szCs w:val="24"/>
        </w:rPr>
        <w:t xml:space="preserve">es and the relationship between </w:t>
      </w:r>
      <w:r w:rsidRPr="00AE1B94">
        <w:rPr>
          <w:rFonts w:ascii="Times New Roman" w:hAnsi="Times New Roman" w:cs="Times New Roman"/>
          <w:sz w:val="24"/>
          <w:szCs w:val="24"/>
        </w:rPr>
        <w:t>facial measurements and natu</w:t>
      </w:r>
      <w:r w:rsidR="00E76077" w:rsidRPr="00AE1B94">
        <w:rPr>
          <w:rFonts w:ascii="Times New Roman" w:hAnsi="Times New Roman" w:cs="Times New Roman"/>
          <w:sz w:val="24"/>
          <w:szCs w:val="24"/>
        </w:rPr>
        <w:t xml:space="preserve">ral teeth is used as a guide to </w:t>
      </w:r>
      <w:r w:rsidRPr="00AE1B94">
        <w:rPr>
          <w:rFonts w:ascii="Times New Roman" w:hAnsi="Times New Roman" w:cs="Times New Roman"/>
          <w:sz w:val="24"/>
          <w:szCs w:val="24"/>
        </w:rPr>
        <w:t xml:space="preserve">achieve </w:t>
      </w:r>
      <w:proofErr w:type="spellStart"/>
      <w:r w:rsidRPr="00AE1B94">
        <w:rPr>
          <w:rFonts w:ascii="Times New Roman" w:hAnsi="Times New Roman" w:cs="Times New Roman"/>
          <w:sz w:val="24"/>
          <w:szCs w:val="24"/>
        </w:rPr>
        <w:t>facial</w:t>
      </w:r>
      <w:proofErr w:type="spellEnd"/>
      <w:r w:rsidRPr="00AE1B94">
        <w:rPr>
          <w:rFonts w:ascii="Times New Roman" w:hAnsi="Times New Roman" w:cs="Times New Roman"/>
          <w:sz w:val="24"/>
          <w:szCs w:val="24"/>
        </w:rPr>
        <w:t xml:space="preserve"> harmony and esthetics for an individual.</w:t>
      </w:r>
      <w:r w:rsidR="00CB007E">
        <w:rPr>
          <w:rFonts w:ascii="Times New Roman" w:hAnsi="Times New Roman" w:cs="Times New Roman"/>
          <w:sz w:val="24"/>
          <w:szCs w:val="24"/>
          <w:vertAlign w:val="superscript"/>
        </w:rPr>
        <w:t>2</w:t>
      </w:r>
      <w:r w:rsidR="00E76077" w:rsidRPr="00AE1B94">
        <w:rPr>
          <w:rFonts w:ascii="Times New Roman" w:hAnsi="Times New Roman" w:cs="Times New Roman"/>
          <w:sz w:val="24"/>
          <w:szCs w:val="24"/>
        </w:rPr>
        <w:t xml:space="preserve"> </w:t>
      </w:r>
      <w:proofErr w:type="spellStart"/>
      <w:r w:rsidRPr="00AE1B94">
        <w:rPr>
          <w:rFonts w:ascii="Times New Roman" w:hAnsi="Times New Roman" w:cs="Times New Roman"/>
          <w:sz w:val="24"/>
          <w:szCs w:val="24"/>
        </w:rPr>
        <w:t>Orthodontically</w:t>
      </w:r>
      <w:proofErr w:type="spellEnd"/>
      <w:r w:rsidRPr="00AE1B94">
        <w:rPr>
          <w:rFonts w:ascii="Times New Roman" w:hAnsi="Times New Roman" w:cs="Times New Roman"/>
          <w:sz w:val="24"/>
          <w:szCs w:val="24"/>
        </w:rPr>
        <w:t xml:space="preserve"> when a patient i</w:t>
      </w:r>
      <w:r w:rsidR="00E76077" w:rsidRPr="00AE1B94">
        <w:rPr>
          <w:rFonts w:ascii="Times New Roman" w:hAnsi="Times New Roman" w:cs="Times New Roman"/>
          <w:sz w:val="24"/>
          <w:szCs w:val="24"/>
        </w:rPr>
        <w:t xml:space="preserve">s visualized for the treatment; </w:t>
      </w:r>
      <w:r w:rsidRPr="00AE1B94">
        <w:rPr>
          <w:rFonts w:ascii="Times New Roman" w:hAnsi="Times New Roman" w:cs="Times New Roman"/>
          <w:sz w:val="24"/>
          <w:szCs w:val="24"/>
        </w:rPr>
        <w:t>macro-esthetics, min</w:t>
      </w:r>
      <w:r w:rsidR="00E76077" w:rsidRPr="00AE1B94">
        <w:rPr>
          <w:rFonts w:ascii="Times New Roman" w:hAnsi="Times New Roman" w:cs="Times New Roman"/>
          <w:sz w:val="24"/>
          <w:szCs w:val="24"/>
        </w:rPr>
        <w:t xml:space="preserve">i- esthetics and micro-esthetic </w:t>
      </w:r>
      <w:r w:rsidRPr="00AE1B94">
        <w:rPr>
          <w:rFonts w:ascii="Times New Roman" w:hAnsi="Times New Roman" w:cs="Times New Roman"/>
          <w:sz w:val="24"/>
          <w:szCs w:val="24"/>
        </w:rPr>
        <w:t>measurements are taken into consideration.</w:t>
      </w:r>
      <w:r w:rsidR="00CB007E">
        <w:rPr>
          <w:rFonts w:ascii="Times New Roman" w:hAnsi="Times New Roman" w:cs="Times New Roman"/>
          <w:sz w:val="24"/>
          <w:szCs w:val="24"/>
          <w:vertAlign w:val="superscript"/>
        </w:rPr>
        <w:t>14</w:t>
      </w:r>
      <w:proofErr w:type="gramStart"/>
      <w:r w:rsidR="00CB007E">
        <w:rPr>
          <w:rFonts w:ascii="Times New Roman" w:hAnsi="Times New Roman" w:cs="Times New Roman"/>
          <w:sz w:val="24"/>
          <w:szCs w:val="24"/>
          <w:vertAlign w:val="superscript"/>
        </w:rPr>
        <w:t>,15</w:t>
      </w:r>
      <w:proofErr w:type="gramEnd"/>
    </w:p>
    <w:p w:rsidR="00693CC0" w:rsidRPr="00AE1B94" w:rsidRDefault="00693CC0" w:rsidP="00AE1B94">
      <w:pPr>
        <w:autoSpaceDE w:val="0"/>
        <w:autoSpaceDN w:val="0"/>
        <w:adjustRightInd w:val="0"/>
        <w:spacing w:after="0" w:line="240" w:lineRule="auto"/>
        <w:jc w:val="both"/>
        <w:rPr>
          <w:rFonts w:ascii="Times New Roman" w:hAnsi="Times New Roman" w:cs="Times New Roman"/>
          <w:sz w:val="24"/>
          <w:szCs w:val="24"/>
        </w:rPr>
      </w:pPr>
      <w:r w:rsidRPr="00AE1B94">
        <w:rPr>
          <w:rFonts w:ascii="Times New Roman" w:hAnsi="Times New Roman" w:cs="Times New Roman"/>
          <w:sz w:val="24"/>
          <w:szCs w:val="24"/>
        </w:rPr>
        <w:t>All the parameters i.e. macr</w:t>
      </w:r>
      <w:r w:rsidR="00E76077" w:rsidRPr="00AE1B94">
        <w:rPr>
          <w:rFonts w:ascii="Times New Roman" w:hAnsi="Times New Roman" w:cs="Times New Roman"/>
          <w:sz w:val="24"/>
          <w:szCs w:val="24"/>
        </w:rPr>
        <w:t xml:space="preserve">o, mini and micro-esthetics are considered while planning an </w:t>
      </w:r>
      <w:r w:rsidRPr="00AE1B94">
        <w:rPr>
          <w:rFonts w:ascii="Times New Roman" w:hAnsi="Times New Roman" w:cs="Times New Roman"/>
          <w:sz w:val="24"/>
          <w:szCs w:val="24"/>
        </w:rPr>
        <w:t>orthodontic</w:t>
      </w:r>
      <w:r w:rsidR="00E76077" w:rsidRPr="00AE1B94">
        <w:rPr>
          <w:rFonts w:ascii="Times New Roman" w:hAnsi="Times New Roman" w:cs="Times New Roman"/>
          <w:sz w:val="24"/>
          <w:szCs w:val="24"/>
        </w:rPr>
        <w:t xml:space="preserve"> treatment and smile </w:t>
      </w:r>
      <w:r w:rsidRPr="00AE1B94">
        <w:rPr>
          <w:rFonts w:ascii="Times New Roman" w:hAnsi="Times New Roman" w:cs="Times New Roman"/>
          <w:sz w:val="24"/>
          <w:szCs w:val="24"/>
        </w:rPr>
        <w:t>designing. Hence the lower facia</w:t>
      </w:r>
      <w:r w:rsidR="00E76077" w:rsidRPr="00AE1B94">
        <w:rPr>
          <w:rFonts w:ascii="Times New Roman" w:hAnsi="Times New Roman" w:cs="Times New Roman"/>
          <w:sz w:val="24"/>
          <w:szCs w:val="24"/>
        </w:rPr>
        <w:t xml:space="preserve">l height and the clinical crown </w:t>
      </w:r>
      <w:r w:rsidRPr="00AE1B94">
        <w:rPr>
          <w:rFonts w:ascii="Times New Roman" w:hAnsi="Times New Roman" w:cs="Times New Roman"/>
          <w:sz w:val="24"/>
          <w:szCs w:val="24"/>
        </w:rPr>
        <w:lastRenderedPageBreak/>
        <w:t>height of incisor play a sig</w:t>
      </w:r>
      <w:r w:rsidR="00E76077" w:rsidRPr="00AE1B94">
        <w:rPr>
          <w:rFonts w:ascii="Times New Roman" w:hAnsi="Times New Roman" w:cs="Times New Roman"/>
          <w:sz w:val="24"/>
          <w:szCs w:val="24"/>
        </w:rPr>
        <w:t xml:space="preserve">nificant role in determining an </w:t>
      </w:r>
      <w:r w:rsidRPr="00AE1B94">
        <w:rPr>
          <w:rFonts w:ascii="Times New Roman" w:hAnsi="Times New Roman" w:cs="Times New Roman"/>
          <w:sz w:val="24"/>
          <w:szCs w:val="24"/>
        </w:rPr>
        <w:t>orthodontic treatment plann</w:t>
      </w:r>
      <w:r w:rsidR="00E76077" w:rsidRPr="00AE1B94">
        <w:rPr>
          <w:rFonts w:ascii="Times New Roman" w:hAnsi="Times New Roman" w:cs="Times New Roman"/>
          <w:sz w:val="24"/>
          <w:szCs w:val="24"/>
        </w:rPr>
        <w:t xml:space="preserve">ing and the smile makeover of a </w:t>
      </w:r>
      <w:r w:rsidRPr="00AE1B94">
        <w:rPr>
          <w:rFonts w:ascii="Times New Roman" w:hAnsi="Times New Roman" w:cs="Times New Roman"/>
          <w:sz w:val="24"/>
          <w:szCs w:val="24"/>
        </w:rPr>
        <w:t>patient</w:t>
      </w:r>
      <w:r w:rsidR="00024402">
        <w:rPr>
          <w:rFonts w:ascii="Times New Roman" w:hAnsi="Times New Roman" w:cs="Times New Roman"/>
          <w:sz w:val="24"/>
          <w:szCs w:val="24"/>
        </w:rPr>
        <w:t>.</w:t>
      </w:r>
      <w:r w:rsidR="0015206D" w:rsidRPr="00AE1B94">
        <w:rPr>
          <w:rFonts w:ascii="Times New Roman" w:hAnsi="Times New Roman" w:cs="Times New Roman"/>
          <w:sz w:val="24"/>
          <w:szCs w:val="24"/>
          <w:vertAlign w:val="superscript"/>
        </w:rPr>
        <w:t>1</w:t>
      </w:r>
    </w:p>
    <w:p w:rsidR="00784F73" w:rsidRPr="00024402" w:rsidRDefault="00693CC0" w:rsidP="00AE1B94">
      <w:pPr>
        <w:autoSpaceDE w:val="0"/>
        <w:autoSpaceDN w:val="0"/>
        <w:adjustRightInd w:val="0"/>
        <w:spacing w:after="0" w:line="240" w:lineRule="auto"/>
        <w:jc w:val="both"/>
        <w:rPr>
          <w:rFonts w:ascii="Times New Roman" w:hAnsi="Times New Roman" w:cs="Times New Roman"/>
          <w:sz w:val="24"/>
          <w:szCs w:val="24"/>
        </w:rPr>
      </w:pPr>
      <w:r w:rsidRPr="00AE1B94">
        <w:rPr>
          <w:rFonts w:ascii="Times New Roman" w:hAnsi="Times New Roman" w:cs="Times New Roman"/>
          <w:sz w:val="24"/>
          <w:szCs w:val="24"/>
        </w:rPr>
        <w:t>Literature also suggests that clinical crow</w:t>
      </w:r>
      <w:r w:rsidR="00E76077" w:rsidRPr="00AE1B94">
        <w:rPr>
          <w:rFonts w:ascii="Times New Roman" w:hAnsi="Times New Roman" w:cs="Times New Roman"/>
          <w:sz w:val="24"/>
          <w:szCs w:val="24"/>
        </w:rPr>
        <w:t xml:space="preserve">n height and </w:t>
      </w:r>
      <w:r w:rsidRPr="00AE1B94">
        <w:rPr>
          <w:rFonts w:ascii="Times New Roman" w:hAnsi="Times New Roman" w:cs="Times New Roman"/>
          <w:sz w:val="24"/>
          <w:szCs w:val="24"/>
        </w:rPr>
        <w:t>lower facial height gets affected</w:t>
      </w:r>
      <w:r w:rsidR="00E76077" w:rsidRPr="00AE1B94">
        <w:rPr>
          <w:rFonts w:ascii="Times New Roman" w:hAnsi="Times New Roman" w:cs="Times New Roman"/>
          <w:sz w:val="24"/>
          <w:szCs w:val="24"/>
        </w:rPr>
        <w:t xml:space="preserve"> in patients who have undergone </w:t>
      </w:r>
      <w:r w:rsidR="0015206D" w:rsidRPr="00AE1B94">
        <w:rPr>
          <w:rFonts w:ascii="Times New Roman" w:hAnsi="Times New Roman" w:cs="Times New Roman"/>
          <w:sz w:val="24"/>
          <w:szCs w:val="24"/>
        </w:rPr>
        <w:t>orthodontic treatment</w:t>
      </w:r>
      <w:r w:rsidR="00024402">
        <w:rPr>
          <w:rFonts w:ascii="Times New Roman" w:hAnsi="Times New Roman" w:cs="Times New Roman"/>
          <w:sz w:val="24"/>
          <w:szCs w:val="24"/>
        </w:rPr>
        <w:t xml:space="preserve">. </w:t>
      </w:r>
      <w:r w:rsidR="00784F73" w:rsidRPr="00AE1B94">
        <w:rPr>
          <w:rFonts w:ascii="Times New Roman" w:hAnsi="Times New Roman" w:cs="Times New Roman"/>
          <w:color w:val="000000"/>
          <w:sz w:val="24"/>
          <w:szCs w:val="24"/>
        </w:rPr>
        <w:t>When age of samples included in the study was compared for males and females a statistica</w:t>
      </w:r>
      <w:r w:rsidR="00024402">
        <w:rPr>
          <w:rFonts w:ascii="Times New Roman" w:hAnsi="Times New Roman" w:cs="Times New Roman"/>
          <w:color w:val="000000"/>
          <w:sz w:val="24"/>
          <w:szCs w:val="24"/>
        </w:rPr>
        <w:t>l non significance was observed</w:t>
      </w:r>
      <w:r w:rsidR="00784F73" w:rsidRPr="00AE1B94">
        <w:rPr>
          <w:rFonts w:ascii="Times New Roman" w:hAnsi="Times New Roman" w:cs="Times New Roman"/>
          <w:color w:val="000000"/>
          <w:sz w:val="24"/>
          <w:szCs w:val="24"/>
        </w:rPr>
        <w:t xml:space="preserve">. Probable cause for such an observation could be attributed to the study design, in which the samples included in </w:t>
      </w:r>
      <w:r w:rsidR="00405792" w:rsidRPr="00AE1B94">
        <w:rPr>
          <w:rFonts w:ascii="Times New Roman" w:hAnsi="Times New Roman" w:cs="Times New Roman"/>
          <w:color w:val="000000"/>
          <w:sz w:val="24"/>
          <w:szCs w:val="24"/>
        </w:rPr>
        <w:t>the study had an age range of 17-25</w:t>
      </w:r>
      <w:r w:rsidR="00784F73" w:rsidRPr="00AE1B94">
        <w:rPr>
          <w:rFonts w:ascii="Times New Roman" w:hAnsi="Times New Roman" w:cs="Times New Roman"/>
          <w:color w:val="000000"/>
          <w:sz w:val="24"/>
          <w:szCs w:val="24"/>
        </w:rPr>
        <w:t xml:space="preserve"> years.</w:t>
      </w:r>
    </w:p>
    <w:p w:rsidR="00E76077" w:rsidRPr="00AE1B94" w:rsidRDefault="00784F73" w:rsidP="00AE1B94">
      <w:pPr>
        <w:autoSpaceDE w:val="0"/>
        <w:autoSpaceDN w:val="0"/>
        <w:adjustRightInd w:val="0"/>
        <w:spacing w:after="0" w:line="240" w:lineRule="auto"/>
        <w:jc w:val="both"/>
        <w:rPr>
          <w:rFonts w:ascii="Times New Roman" w:hAnsi="Times New Roman" w:cs="Times New Roman"/>
          <w:color w:val="000000"/>
          <w:sz w:val="24"/>
          <w:szCs w:val="24"/>
        </w:rPr>
      </w:pPr>
      <w:r w:rsidRPr="00AE1B94">
        <w:rPr>
          <w:rFonts w:ascii="Times New Roman" w:hAnsi="Times New Roman" w:cs="Times New Roman"/>
          <w:color w:val="000000"/>
          <w:sz w:val="24"/>
          <w:szCs w:val="24"/>
        </w:rPr>
        <w:t>On an overall the clinical</w:t>
      </w:r>
      <w:r w:rsidR="006E4439" w:rsidRPr="00AE1B94">
        <w:rPr>
          <w:rFonts w:ascii="Times New Roman" w:hAnsi="Times New Roman" w:cs="Times New Roman"/>
          <w:color w:val="000000"/>
          <w:sz w:val="24"/>
          <w:szCs w:val="24"/>
        </w:rPr>
        <w:t xml:space="preserve"> crown height of 11</w:t>
      </w:r>
      <w:proofErr w:type="gramStart"/>
      <w:r w:rsidR="006E4439" w:rsidRPr="00AE1B94">
        <w:rPr>
          <w:rFonts w:ascii="Times New Roman" w:hAnsi="Times New Roman" w:cs="Times New Roman"/>
          <w:color w:val="000000"/>
          <w:sz w:val="24"/>
          <w:szCs w:val="24"/>
        </w:rPr>
        <w:t>,16</w:t>
      </w:r>
      <w:proofErr w:type="gramEnd"/>
      <w:r w:rsidR="006E4439" w:rsidRPr="00AE1B94">
        <w:rPr>
          <w:rFonts w:ascii="Times New Roman" w:hAnsi="Times New Roman" w:cs="Times New Roman"/>
          <w:color w:val="000000"/>
          <w:sz w:val="24"/>
          <w:szCs w:val="24"/>
        </w:rPr>
        <w:t>, clinically</w:t>
      </w:r>
      <w:r w:rsidRPr="00AE1B94">
        <w:rPr>
          <w:rFonts w:ascii="Times New Roman" w:hAnsi="Times New Roman" w:cs="Times New Roman"/>
          <w:color w:val="000000"/>
          <w:sz w:val="24"/>
          <w:szCs w:val="24"/>
        </w:rPr>
        <w:t xml:space="preserve"> lower facial height</w:t>
      </w:r>
      <w:r w:rsidR="006E4439" w:rsidRPr="00AE1B94">
        <w:rPr>
          <w:rFonts w:ascii="Times New Roman" w:hAnsi="Times New Roman" w:cs="Times New Roman"/>
          <w:color w:val="000000"/>
          <w:sz w:val="24"/>
          <w:szCs w:val="24"/>
        </w:rPr>
        <w:t xml:space="preserve"> and </w:t>
      </w:r>
      <w:proofErr w:type="spellStart"/>
      <w:r w:rsidR="006E4439" w:rsidRPr="00AE1B94">
        <w:rPr>
          <w:rFonts w:ascii="Times New Roman" w:hAnsi="Times New Roman" w:cs="Times New Roman"/>
          <w:color w:val="000000"/>
          <w:sz w:val="24"/>
          <w:szCs w:val="24"/>
        </w:rPr>
        <w:t>cephalometric</w:t>
      </w:r>
      <w:proofErr w:type="spellEnd"/>
      <w:r w:rsidR="006E4439" w:rsidRPr="00AE1B94">
        <w:rPr>
          <w:rFonts w:ascii="Times New Roman" w:hAnsi="Times New Roman" w:cs="Times New Roman"/>
          <w:color w:val="000000"/>
          <w:sz w:val="24"/>
          <w:szCs w:val="24"/>
        </w:rPr>
        <w:t xml:space="preserve"> lower facial height </w:t>
      </w:r>
      <w:r w:rsidRPr="00AE1B94">
        <w:rPr>
          <w:rFonts w:ascii="Times New Roman" w:hAnsi="Times New Roman" w:cs="Times New Roman"/>
          <w:color w:val="000000"/>
          <w:sz w:val="24"/>
          <w:szCs w:val="24"/>
        </w:rPr>
        <w:t>were both clinically and statistically larger in males in comparison to females</w:t>
      </w:r>
      <w:r w:rsidR="006E4439" w:rsidRPr="00AE1B94">
        <w:rPr>
          <w:rFonts w:ascii="Times New Roman" w:hAnsi="Times New Roman" w:cs="Times New Roman"/>
          <w:color w:val="000000"/>
          <w:sz w:val="24"/>
          <w:szCs w:val="24"/>
        </w:rPr>
        <w:t xml:space="preserve"> in </w:t>
      </w:r>
      <w:proofErr w:type="spellStart"/>
      <w:r w:rsidR="006E4439" w:rsidRPr="00AE1B94">
        <w:rPr>
          <w:rFonts w:ascii="Times New Roman" w:hAnsi="Times New Roman" w:cs="Times New Roman"/>
          <w:color w:val="000000"/>
          <w:sz w:val="24"/>
          <w:szCs w:val="24"/>
        </w:rPr>
        <w:t>Normodivergent</w:t>
      </w:r>
      <w:proofErr w:type="spellEnd"/>
      <w:r w:rsidR="006E4439" w:rsidRPr="00AE1B94">
        <w:rPr>
          <w:rFonts w:ascii="Times New Roman" w:hAnsi="Times New Roman" w:cs="Times New Roman"/>
          <w:color w:val="000000"/>
          <w:sz w:val="24"/>
          <w:szCs w:val="24"/>
        </w:rPr>
        <w:t xml:space="preserve">, </w:t>
      </w:r>
      <w:proofErr w:type="spellStart"/>
      <w:r w:rsidR="006E4439" w:rsidRPr="00AE1B94">
        <w:rPr>
          <w:rFonts w:ascii="Times New Roman" w:hAnsi="Times New Roman" w:cs="Times New Roman"/>
          <w:color w:val="000000"/>
          <w:sz w:val="24"/>
          <w:szCs w:val="24"/>
        </w:rPr>
        <w:t>hyperdivergent</w:t>
      </w:r>
      <w:proofErr w:type="spellEnd"/>
      <w:r w:rsidR="006E4439" w:rsidRPr="00AE1B94">
        <w:rPr>
          <w:rFonts w:ascii="Times New Roman" w:hAnsi="Times New Roman" w:cs="Times New Roman"/>
          <w:color w:val="000000"/>
          <w:sz w:val="24"/>
          <w:szCs w:val="24"/>
        </w:rPr>
        <w:t xml:space="preserve"> and </w:t>
      </w:r>
      <w:proofErr w:type="spellStart"/>
      <w:r w:rsidR="006E4439" w:rsidRPr="00AE1B94">
        <w:rPr>
          <w:rFonts w:ascii="Times New Roman" w:hAnsi="Times New Roman" w:cs="Times New Roman"/>
          <w:color w:val="000000"/>
          <w:sz w:val="24"/>
          <w:szCs w:val="24"/>
        </w:rPr>
        <w:t>hypodivergent</w:t>
      </w:r>
      <w:proofErr w:type="spellEnd"/>
      <w:r w:rsidR="006E4439" w:rsidRPr="00AE1B94">
        <w:rPr>
          <w:rFonts w:ascii="Times New Roman" w:hAnsi="Times New Roman" w:cs="Times New Roman"/>
          <w:color w:val="000000"/>
          <w:sz w:val="24"/>
          <w:szCs w:val="24"/>
        </w:rPr>
        <w:t xml:space="preserve"> patient.</w:t>
      </w:r>
      <w:r w:rsidR="00D81545" w:rsidRPr="00AE1B94">
        <w:rPr>
          <w:rFonts w:ascii="Times New Roman" w:hAnsi="Times New Roman" w:cs="Times New Roman"/>
          <w:color w:val="000000"/>
          <w:sz w:val="24"/>
          <w:szCs w:val="24"/>
        </w:rPr>
        <w:t xml:space="preserve"> The </w:t>
      </w:r>
      <w:r w:rsidR="0015206D" w:rsidRPr="00AE1B94">
        <w:rPr>
          <w:rFonts w:ascii="Times New Roman" w:hAnsi="Times New Roman" w:cs="Times New Roman"/>
          <w:color w:val="000000"/>
          <w:sz w:val="24"/>
          <w:szCs w:val="24"/>
        </w:rPr>
        <w:t>clinical crown height 41</w:t>
      </w:r>
      <w:proofErr w:type="gramStart"/>
      <w:r w:rsidR="0015206D" w:rsidRPr="00AE1B94">
        <w:rPr>
          <w:rFonts w:ascii="Times New Roman" w:hAnsi="Times New Roman" w:cs="Times New Roman"/>
          <w:color w:val="000000"/>
          <w:sz w:val="24"/>
          <w:szCs w:val="24"/>
        </w:rPr>
        <w:t>,46</w:t>
      </w:r>
      <w:proofErr w:type="gramEnd"/>
      <w:r w:rsidR="0015206D" w:rsidRPr="00AE1B94">
        <w:rPr>
          <w:rFonts w:ascii="Times New Roman" w:hAnsi="Times New Roman" w:cs="Times New Roman"/>
          <w:color w:val="000000"/>
          <w:sz w:val="24"/>
          <w:szCs w:val="24"/>
        </w:rPr>
        <w:t xml:space="preserve"> </w:t>
      </w:r>
      <w:r w:rsidR="00D81545" w:rsidRPr="00AE1B94">
        <w:rPr>
          <w:rFonts w:ascii="Times New Roman" w:hAnsi="Times New Roman" w:cs="Times New Roman"/>
          <w:color w:val="000000"/>
          <w:sz w:val="24"/>
          <w:szCs w:val="24"/>
        </w:rPr>
        <w:t xml:space="preserve">in </w:t>
      </w:r>
      <w:proofErr w:type="spellStart"/>
      <w:r w:rsidR="00D81545" w:rsidRPr="00AE1B94">
        <w:rPr>
          <w:rFonts w:ascii="Times New Roman" w:hAnsi="Times New Roman" w:cs="Times New Roman"/>
          <w:color w:val="000000"/>
          <w:sz w:val="24"/>
          <w:szCs w:val="24"/>
        </w:rPr>
        <w:t>hypodivergent</w:t>
      </w:r>
      <w:proofErr w:type="spellEnd"/>
      <w:r w:rsidR="00D81545" w:rsidRPr="00AE1B94">
        <w:rPr>
          <w:rFonts w:ascii="Times New Roman" w:hAnsi="Times New Roman" w:cs="Times New Roman"/>
          <w:color w:val="000000"/>
          <w:sz w:val="24"/>
          <w:szCs w:val="24"/>
        </w:rPr>
        <w:t xml:space="preserve"> patient &amp; clinical crown height 46 in </w:t>
      </w:r>
      <w:proofErr w:type="spellStart"/>
      <w:r w:rsidR="00D81545" w:rsidRPr="00AE1B94">
        <w:rPr>
          <w:rFonts w:ascii="Times New Roman" w:hAnsi="Times New Roman" w:cs="Times New Roman"/>
          <w:color w:val="000000"/>
          <w:sz w:val="24"/>
          <w:szCs w:val="24"/>
        </w:rPr>
        <w:t>hyperdivergent</w:t>
      </w:r>
      <w:proofErr w:type="spellEnd"/>
      <w:r w:rsidR="00D81545" w:rsidRPr="00AE1B94">
        <w:rPr>
          <w:rFonts w:ascii="Times New Roman" w:hAnsi="Times New Roman" w:cs="Times New Roman"/>
          <w:color w:val="000000"/>
          <w:sz w:val="24"/>
          <w:szCs w:val="24"/>
        </w:rPr>
        <w:t xml:space="preserve"> patient were both clinically and statistically larger in male in comparison to female. </w:t>
      </w:r>
      <w:proofErr w:type="gramStart"/>
      <w:r w:rsidR="00D81545" w:rsidRPr="00AE1B94">
        <w:rPr>
          <w:rFonts w:ascii="Times New Roman" w:hAnsi="Times New Roman" w:cs="Times New Roman"/>
          <w:b/>
          <w:bCs/>
          <w:color w:val="000000"/>
          <w:sz w:val="24"/>
          <w:szCs w:val="24"/>
        </w:rPr>
        <w:t>(Table 2).</w:t>
      </w:r>
      <w:proofErr w:type="gramEnd"/>
      <w:r w:rsidR="00D81545" w:rsidRPr="00AE1B94">
        <w:rPr>
          <w:rFonts w:ascii="Times New Roman" w:hAnsi="Times New Roman" w:cs="Times New Roman"/>
          <w:color w:val="000000"/>
          <w:sz w:val="24"/>
          <w:szCs w:val="24"/>
        </w:rPr>
        <w:t xml:space="preserve"> By </w:t>
      </w:r>
      <w:proofErr w:type="spellStart"/>
      <w:r w:rsidR="00D81545" w:rsidRPr="00AE1B94">
        <w:rPr>
          <w:rFonts w:ascii="Times New Roman" w:hAnsi="Times New Roman" w:cs="Times New Roman"/>
          <w:color w:val="000000"/>
          <w:sz w:val="24"/>
          <w:szCs w:val="24"/>
        </w:rPr>
        <w:t>Zarana</w:t>
      </w:r>
      <w:proofErr w:type="spellEnd"/>
      <w:r w:rsidR="00D81545" w:rsidRPr="00AE1B94">
        <w:rPr>
          <w:rFonts w:ascii="Times New Roman" w:hAnsi="Times New Roman" w:cs="Times New Roman"/>
          <w:color w:val="000000"/>
          <w:sz w:val="24"/>
          <w:szCs w:val="24"/>
        </w:rPr>
        <w:t xml:space="preserve"> </w:t>
      </w:r>
      <w:proofErr w:type="spellStart"/>
      <w:r w:rsidR="00D81545" w:rsidRPr="00AE1B94">
        <w:rPr>
          <w:rFonts w:ascii="Times New Roman" w:hAnsi="Times New Roman" w:cs="Times New Roman"/>
          <w:color w:val="000000"/>
          <w:sz w:val="24"/>
          <w:szCs w:val="24"/>
        </w:rPr>
        <w:t>P</w:t>
      </w:r>
      <w:r w:rsidR="00553762" w:rsidRPr="00AE1B94">
        <w:rPr>
          <w:rFonts w:ascii="Times New Roman" w:hAnsi="Times New Roman" w:cs="Times New Roman"/>
          <w:color w:val="000000"/>
          <w:sz w:val="24"/>
          <w:szCs w:val="24"/>
        </w:rPr>
        <w:t>urohit</w:t>
      </w:r>
      <w:proofErr w:type="spellEnd"/>
      <w:r w:rsidR="00D81545" w:rsidRPr="00AE1B94">
        <w:rPr>
          <w:rFonts w:ascii="Times New Roman" w:hAnsi="Times New Roman" w:cs="Times New Roman"/>
          <w:color w:val="000000"/>
          <w:sz w:val="24"/>
          <w:szCs w:val="24"/>
        </w:rPr>
        <w:t xml:space="preserve"> the clinical crown height of 16, 41, 46 and lower facial height were both clinically and statistically larger in males in comparison to females.</w:t>
      </w:r>
      <w:r w:rsidR="00553762" w:rsidRPr="00AE1B94">
        <w:rPr>
          <w:rFonts w:ascii="Times New Roman" w:hAnsi="Times New Roman" w:cs="Times New Roman"/>
          <w:color w:val="000000"/>
          <w:sz w:val="24"/>
          <w:szCs w:val="24"/>
          <w:vertAlign w:val="superscript"/>
        </w:rPr>
        <w:t>1</w:t>
      </w:r>
      <w:r w:rsidR="00024402">
        <w:rPr>
          <w:rFonts w:ascii="Times New Roman" w:hAnsi="Times New Roman" w:cs="Times New Roman"/>
          <w:b/>
          <w:bCs/>
          <w:color w:val="000000"/>
          <w:sz w:val="24"/>
          <w:szCs w:val="24"/>
        </w:rPr>
        <w:t xml:space="preserve"> </w:t>
      </w:r>
      <w:r w:rsidR="00D81545" w:rsidRPr="00AE1B94">
        <w:rPr>
          <w:rFonts w:ascii="Times New Roman" w:hAnsi="Times New Roman" w:cs="Times New Roman"/>
          <w:color w:val="000000"/>
          <w:sz w:val="24"/>
          <w:szCs w:val="24"/>
        </w:rPr>
        <w:t xml:space="preserve">Our observations correlated with observations made by </w:t>
      </w:r>
      <w:r w:rsidR="00D81545" w:rsidRPr="00AE1B94">
        <w:rPr>
          <w:rFonts w:ascii="Times New Roman" w:hAnsi="Times New Roman" w:cs="Times New Roman"/>
          <w:sz w:val="24"/>
          <w:szCs w:val="24"/>
        </w:rPr>
        <w:t>Morley J, Eubank J</w:t>
      </w:r>
      <w:r w:rsidR="00D81545" w:rsidRPr="00AE1B94">
        <w:rPr>
          <w:rFonts w:ascii="Times New Roman" w:hAnsi="Times New Roman" w:cs="Times New Roman"/>
          <w:color w:val="000000"/>
          <w:sz w:val="24"/>
          <w:szCs w:val="24"/>
        </w:rPr>
        <w:t>.</w:t>
      </w:r>
      <w:r w:rsidR="00CB007E">
        <w:rPr>
          <w:rFonts w:ascii="Times New Roman" w:hAnsi="Times New Roman" w:cs="Times New Roman"/>
          <w:color w:val="000000"/>
          <w:sz w:val="24"/>
          <w:szCs w:val="24"/>
          <w:vertAlign w:val="superscript"/>
        </w:rPr>
        <w:t>1</w:t>
      </w:r>
      <w:r w:rsidR="00553762" w:rsidRPr="00AE1B94">
        <w:rPr>
          <w:rFonts w:ascii="Times New Roman" w:hAnsi="Times New Roman" w:cs="Times New Roman"/>
          <w:color w:val="000000"/>
          <w:sz w:val="24"/>
          <w:szCs w:val="24"/>
          <w:vertAlign w:val="superscript"/>
        </w:rPr>
        <w:t xml:space="preserve"> </w:t>
      </w:r>
      <w:r w:rsidR="00D81545" w:rsidRPr="00AE1B94">
        <w:rPr>
          <w:rFonts w:ascii="Times New Roman" w:hAnsi="Times New Roman" w:cs="Times New Roman"/>
          <w:color w:val="000000"/>
          <w:sz w:val="24"/>
          <w:szCs w:val="24"/>
        </w:rPr>
        <w:t>However, the clinical crown height of 11 was found to be</w:t>
      </w:r>
      <w:r w:rsidR="00024402">
        <w:rPr>
          <w:rFonts w:ascii="Times New Roman" w:hAnsi="Times New Roman" w:cs="Times New Roman"/>
          <w:color w:val="000000"/>
          <w:sz w:val="24"/>
          <w:szCs w:val="24"/>
        </w:rPr>
        <w:t xml:space="preserve"> </w:t>
      </w:r>
      <w:r w:rsidR="00D81545" w:rsidRPr="00AE1B94">
        <w:rPr>
          <w:rFonts w:ascii="Times New Roman" w:hAnsi="Times New Roman" w:cs="Times New Roman"/>
          <w:color w:val="000000"/>
          <w:sz w:val="24"/>
          <w:szCs w:val="24"/>
        </w:rPr>
        <w:t>smaller in males in comparison to females</w:t>
      </w:r>
      <w:r w:rsidR="00553762" w:rsidRPr="00AE1B94">
        <w:rPr>
          <w:rFonts w:ascii="Times New Roman" w:hAnsi="Times New Roman" w:cs="Times New Roman"/>
          <w:color w:val="000000"/>
          <w:sz w:val="24"/>
          <w:szCs w:val="24"/>
        </w:rPr>
        <w:t>.</w:t>
      </w:r>
    </w:p>
    <w:p w:rsidR="00584AFF" w:rsidRPr="00AE1B94" w:rsidRDefault="00553762" w:rsidP="00AE1B94">
      <w:pPr>
        <w:autoSpaceDE w:val="0"/>
        <w:autoSpaceDN w:val="0"/>
        <w:adjustRightInd w:val="0"/>
        <w:spacing w:after="0" w:line="240" w:lineRule="auto"/>
        <w:jc w:val="both"/>
        <w:rPr>
          <w:rFonts w:ascii="Times New Roman" w:hAnsi="Times New Roman" w:cs="Times New Roman"/>
          <w:sz w:val="24"/>
          <w:szCs w:val="24"/>
        </w:rPr>
      </w:pPr>
      <w:r w:rsidRPr="00AE1B94">
        <w:rPr>
          <w:rFonts w:ascii="Times New Roman" w:hAnsi="Times New Roman" w:cs="Times New Roman"/>
          <w:sz w:val="24"/>
          <w:szCs w:val="24"/>
        </w:rPr>
        <w:t xml:space="preserve">T test was carried out to determine significance among the samples included for the study with respect to 11, 16, 41, </w:t>
      </w:r>
      <w:proofErr w:type="gramStart"/>
      <w:r w:rsidRPr="00AE1B94">
        <w:rPr>
          <w:rFonts w:ascii="Times New Roman" w:hAnsi="Times New Roman" w:cs="Times New Roman"/>
          <w:sz w:val="24"/>
          <w:szCs w:val="24"/>
        </w:rPr>
        <w:t>46</w:t>
      </w:r>
      <w:proofErr w:type="gramEnd"/>
      <w:r w:rsidRPr="00AE1B94">
        <w:rPr>
          <w:rFonts w:ascii="Times New Roman" w:hAnsi="Times New Roman" w:cs="Times New Roman"/>
          <w:sz w:val="24"/>
          <w:szCs w:val="24"/>
        </w:rPr>
        <w:t xml:space="preserve"> and clinically &amp; </w:t>
      </w:r>
      <w:proofErr w:type="spellStart"/>
      <w:r w:rsidRPr="00AE1B94">
        <w:rPr>
          <w:rFonts w:ascii="Times New Roman" w:hAnsi="Times New Roman" w:cs="Times New Roman"/>
          <w:sz w:val="24"/>
          <w:szCs w:val="24"/>
        </w:rPr>
        <w:t>cephalometrically</w:t>
      </w:r>
      <w:proofErr w:type="spellEnd"/>
      <w:r w:rsidRPr="00AE1B94">
        <w:rPr>
          <w:rFonts w:ascii="Times New Roman" w:hAnsi="Times New Roman" w:cs="Times New Roman"/>
          <w:sz w:val="24"/>
          <w:szCs w:val="24"/>
        </w:rPr>
        <w:t xml:space="preserve"> lower facial height. Statistical significance was observed in 16 in </w:t>
      </w:r>
      <w:proofErr w:type="spellStart"/>
      <w:r w:rsidRPr="00AE1B94">
        <w:rPr>
          <w:rFonts w:ascii="Times New Roman" w:hAnsi="Times New Roman" w:cs="Times New Roman"/>
          <w:sz w:val="24"/>
          <w:szCs w:val="24"/>
        </w:rPr>
        <w:t>normodivergent</w:t>
      </w:r>
      <w:proofErr w:type="spellEnd"/>
      <w:r w:rsidRPr="00AE1B94">
        <w:rPr>
          <w:rFonts w:ascii="Times New Roman" w:hAnsi="Times New Roman" w:cs="Times New Roman"/>
          <w:sz w:val="24"/>
          <w:szCs w:val="24"/>
        </w:rPr>
        <w:t xml:space="preserve"> and clinically &amp; </w:t>
      </w:r>
      <w:proofErr w:type="spellStart"/>
      <w:r w:rsidRPr="00AE1B94">
        <w:rPr>
          <w:rFonts w:ascii="Times New Roman" w:hAnsi="Times New Roman" w:cs="Times New Roman"/>
          <w:sz w:val="24"/>
          <w:szCs w:val="24"/>
        </w:rPr>
        <w:t>cephalometric</w:t>
      </w:r>
      <w:proofErr w:type="spellEnd"/>
      <w:r w:rsidRPr="00AE1B94">
        <w:rPr>
          <w:rFonts w:ascii="Times New Roman" w:hAnsi="Times New Roman" w:cs="Times New Roman"/>
          <w:sz w:val="24"/>
          <w:szCs w:val="24"/>
        </w:rPr>
        <w:t xml:space="preserve"> lower facial height in </w:t>
      </w:r>
      <w:proofErr w:type="spellStart"/>
      <w:r w:rsidRPr="00AE1B94">
        <w:rPr>
          <w:rFonts w:ascii="Times New Roman" w:hAnsi="Times New Roman" w:cs="Times New Roman"/>
          <w:sz w:val="24"/>
          <w:szCs w:val="24"/>
        </w:rPr>
        <w:t>hyperdivergent</w:t>
      </w:r>
      <w:proofErr w:type="spellEnd"/>
      <w:r w:rsidRPr="00AE1B94">
        <w:rPr>
          <w:rFonts w:ascii="Times New Roman" w:hAnsi="Times New Roman" w:cs="Times New Roman"/>
          <w:sz w:val="24"/>
          <w:szCs w:val="24"/>
        </w:rPr>
        <w:t xml:space="preserve"> as observed in table 3. By </w:t>
      </w:r>
      <w:proofErr w:type="spellStart"/>
      <w:r w:rsidR="00584AFF" w:rsidRPr="00AE1B94">
        <w:rPr>
          <w:rFonts w:ascii="Times New Roman" w:hAnsi="Times New Roman" w:cs="Times New Roman"/>
          <w:sz w:val="24"/>
          <w:szCs w:val="24"/>
        </w:rPr>
        <w:t>Zarana</w:t>
      </w:r>
      <w:proofErr w:type="spellEnd"/>
      <w:r w:rsidR="00584AFF" w:rsidRPr="00AE1B94">
        <w:rPr>
          <w:rFonts w:ascii="Times New Roman" w:hAnsi="Times New Roman" w:cs="Times New Roman"/>
          <w:sz w:val="24"/>
          <w:szCs w:val="24"/>
        </w:rPr>
        <w:t xml:space="preserve"> </w:t>
      </w:r>
      <w:proofErr w:type="spellStart"/>
      <w:r w:rsidR="00584AFF" w:rsidRPr="00AE1B94">
        <w:rPr>
          <w:rFonts w:ascii="Times New Roman" w:hAnsi="Times New Roman" w:cs="Times New Roman"/>
          <w:sz w:val="24"/>
          <w:szCs w:val="24"/>
        </w:rPr>
        <w:t>Purohit</w:t>
      </w:r>
      <w:proofErr w:type="spellEnd"/>
      <w:r w:rsidR="00584AFF" w:rsidRPr="00AE1B94">
        <w:rPr>
          <w:rFonts w:ascii="Times New Roman" w:hAnsi="Times New Roman" w:cs="Times New Roman"/>
          <w:sz w:val="24"/>
          <w:szCs w:val="24"/>
        </w:rPr>
        <w:t xml:space="preserve"> Statistical significance was observed among all the parameters except for 16 </w:t>
      </w:r>
      <w:r w:rsidR="00024402">
        <w:rPr>
          <w:rFonts w:ascii="Times New Roman" w:hAnsi="Times New Roman" w:cs="Times New Roman"/>
          <w:sz w:val="24"/>
          <w:szCs w:val="24"/>
        </w:rPr>
        <w:t>and 41 and lower facial height.</w:t>
      </w:r>
    </w:p>
    <w:p w:rsidR="00553762" w:rsidRPr="00AE1B94" w:rsidRDefault="00584AFF" w:rsidP="00AE1B94">
      <w:pPr>
        <w:autoSpaceDE w:val="0"/>
        <w:autoSpaceDN w:val="0"/>
        <w:adjustRightInd w:val="0"/>
        <w:spacing w:after="0" w:line="240" w:lineRule="auto"/>
        <w:jc w:val="both"/>
        <w:rPr>
          <w:rFonts w:ascii="Times New Roman" w:hAnsi="Times New Roman" w:cs="Times New Roman"/>
          <w:sz w:val="24"/>
          <w:szCs w:val="24"/>
        </w:rPr>
      </w:pPr>
      <w:r w:rsidRPr="00AE1B94">
        <w:rPr>
          <w:rFonts w:ascii="Times New Roman" w:hAnsi="Times New Roman" w:cs="Times New Roman"/>
          <w:sz w:val="24"/>
          <w:szCs w:val="24"/>
        </w:rPr>
        <w:t>The lower facial height is influenced by both maxillary and mandibular jaws. Movable mandibular jaw could be attributed for such an observation. The lower third of face is further divided into upper 1/3rd and lower 2/3rd a further study has to be conducted to find out a correlation of the clinical crown height and lower facial thirds.</w:t>
      </w:r>
    </w:p>
    <w:p w:rsidR="00E8255E" w:rsidRPr="00AE1B94" w:rsidRDefault="00D27C4A" w:rsidP="00AE1B94">
      <w:pPr>
        <w:autoSpaceDE w:val="0"/>
        <w:autoSpaceDN w:val="0"/>
        <w:adjustRightInd w:val="0"/>
        <w:spacing w:after="0" w:line="240" w:lineRule="auto"/>
        <w:jc w:val="both"/>
        <w:rPr>
          <w:rFonts w:ascii="Times New Roman" w:hAnsi="Times New Roman" w:cs="Times New Roman"/>
          <w:sz w:val="24"/>
          <w:szCs w:val="24"/>
        </w:rPr>
      </w:pPr>
      <w:r w:rsidRPr="00AE1B94">
        <w:rPr>
          <w:rFonts w:ascii="Times New Roman" w:hAnsi="Times New Roman" w:cs="Times New Roman"/>
          <w:sz w:val="24"/>
          <w:szCs w:val="24"/>
        </w:rPr>
        <w:t xml:space="preserve">No Statistical significance was observed in clinically and </w:t>
      </w:r>
      <w:proofErr w:type="spellStart"/>
      <w:r w:rsidRPr="00AE1B94">
        <w:rPr>
          <w:rFonts w:ascii="Times New Roman" w:hAnsi="Times New Roman" w:cs="Times New Roman"/>
          <w:sz w:val="24"/>
          <w:szCs w:val="24"/>
        </w:rPr>
        <w:t>cephalometric</w:t>
      </w:r>
      <w:proofErr w:type="spellEnd"/>
      <w:r w:rsidRPr="00AE1B94">
        <w:rPr>
          <w:rFonts w:ascii="Times New Roman" w:hAnsi="Times New Roman" w:cs="Times New Roman"/>
          <w:sz w:val="24"/>
          <w:szCs w:val="24"/>
        </w:rPr>
        <w:t xml:space="preserve"> lower facial height in </w:t>
      </w:r>
      <w:proofErr w:type="spellStart"/>
      <w:r w:rsidRPr="00AE1B94">
        <w:rPr>
          <w:rFonts w:ascii="Times New Roman" w:hAnsi="Times New Roman" w:cs="Times New Roman"/>
          <w:sz w:val="24"/>
          <w:szCs w:val="24"/>
        </w:rPr>
        <w:t>normodivergent</w:t>
      </w:r>
      <w:proofErr w:type="spellEnd"/>
      <w:r w:rsidRPr="00AE1B94">
        <w:rPr>
          <w:rFonts w:ascii="Times New Roman" w:hAnsi="Times New Roman" w:cs="Times New Roman"/>
          <w:sz w:val="24"/>
          <w:szCs w:val="24"/>
        </w:rPr>
        <w:t>,</w:t>
      </w:r>
      <w:r w:rsidR="003C61EF" w:rsidRPr="00AE1B94">
        <w:rPr>
          <w:rFonts w:ascii="Times New Roman" w:hAnsi="Times New Roman" w:cs="Times New Roman"/>
          <w:sz w:val="24"/>
          <w:szCs w:val="24"/>
        </w:rPr>
        <w:t xml:space="preserve"> </w:t>
      </w:r>
      <w:proofErr w:type="spellStart"/>
      <w:r w:rsidR="003C61EF" w:rsidRPr="00AE1B94">
        <w:rPr>
          <w:rFonts w:ascii="Times New Roman" w:hAnsi="Times New Roman" w:cs="Times New Roman"/>
          <w:sz w:val="24"/>
          <w:szCs w:val="24"/>
        </w:rPr>
        <w:t>hypodivergent</w:t>
      </w:r>
      <w:proofErr w:type="spellEnd"/>
      <w:r w:rsidR="003C61EF" w:rsidRPr="00AE1B94">
        <w:rPr>
          <w:rFonts w:ascii="Times New Roman" w:hAnsi="Times New Roman" w:cs="Times New Roman"/>
          <w:sz w:val="24"/>
          <w:szCs w:val="24"/>
        </w:rPr>
        <w:t xml:space="preserve"> &amp; </w:t>
      </w:r>
      <w:proofErr w:type="spellStart"/>
      <w:r w:rsidR="003C61EF" w:rsidRPr="00AE1B94">
        <w:rPr>
          <w:rFonts w:ascii="Times New Roman" w:hAnsi="Times New Roman" w:cs="Times New Roman"/>
          <w:sz w:val="24"/>
          <w:szCs w:val="24"/>
        </w:rPr>
        <w:t>hyperdivergent</w:t>
      </w:r>
      <w:proofErr w:type="spellEnd"/>
      <w:proofErr w:type="gramStart"/>
      <w:r w:rsidR="003C61EF" w:rsidRPr="00AE1B94">
        <w:rPr>
          <w:rFonts w:ascii="Times New Roman" w:hAnsi="Times New Roman" w:cs="Times New Roman"/>
          <w:sz w:val="24"/>
          <w:szCs w:val="24"/>
        </w:rPr>
        <w:t>.(</w:t>
      </w:r>
      <w:proofErr w:type="gramEnd"/>
      <w:r w:rsidR="003C61EF" w:rsidRPr="00AE1B94">
        <w:rPr>
          <w:rFonts w:ascii="Times New Roman" w:hAnsi="Times New Roman" w:cs="Times New Roman"/>
          <w:b/>
          <w:sz w:val="24"/>
          <w:szCs w:val="24"/>
        </w:rPr>
        <w:t>Table 4)</w:t>
      </w:r>
    </w:p>
    <w:p w:rsidR="00584AFF" w:rsidRPr="00AE1B94" w:rsidRDefault="00E8255E" w:rsidP="00AE1B94">
      <w:pPr>
        <w:autoSpaceDE w:val="0"/>
        <w:autoSpaceDN w:val="0"/>
        <w:adjustRightInd w:val="0"/>
        <w:spacing w:after="0" w:line="240" w:lineRule="auto"/>
        <w:jc w:val="both"/>
        <w:rPr>
          <w:rFonts w:ascii="Times New Roman" w:hAnsi="Times New Roman" w:cs="Times New Roman"/>
          <w:b/>
          <w:bCs/>
          <w:color w:val="000000"/>
          <w:sz w:val="24"/>
          <w:szCs w:val="24"/>
        </w:rPr>
      </w:pPr>
      <w:r w:rsidRPr="00AE1B94">
        <w:rPr>
          <w:rFonts w:ascii="Times New Roman" w:hAnsi="Times New Roman" w:cs="Times New Roman"/>
          <w:sz w:val="24"/>
          <w:szCs w:val="24"/>
        </w:rPr>
        <w:t xml:space="preserve">When correlation coefficient was determined in males with 11, 16, 41, and 46 to lower facial height a strong statistical significant correlation was observed with 41 to lower facial height in </w:t>
      </w:r>
      <w:proofErr w:type="spellStart"/>
      <w:r w:rsidRPr="00AE1B94">
        <w:rPr>
          <w:rFonts w:ascii="Times New Roman" w:hAnsi="Times New Roman" w:cs="Times New Roman"/>
          <w:sz w:val="24"/>
          <w:szCs w:val="24"/>
        </w:rPr>
        <w:t>hypodivergent</w:t>
      </w:r>
      <w:proofErr w:type="spellEnd"/>
      <w:r w:rsidRPr="00AE1B94">
        <w:rPr>
          <w:rFonts w:ascii="Times New Roman" w:hAnsi="Times New Roman" w:cs="Times New Roman"/>
          <w:sz w:val="24"/>
          <w:szCs w:val="24"/>
        </w:rPr>
        <w:t xml:space="preserve"> &amp; 11, 41 &amp; 46 to lower </w:t>
      </w:r>
      <w:r w:rsidR="00024402">
        <w:rPr>
          <w:rFonts w:ascii="Times New Roman" w:hAnsi="Times New Roman" w:cs="Times New Roman"/>
          <w:sz w:val="24"/>
          <w:szCs w:val="24"/>
        </w:rPr>
        <w:t xml:space="preserve">facial height in </w:t>
      </w:r>
      <w:proofErr w:type="spellStart"/>
      <w:r w:rsidR="00024402">
        <w:rPr>
          <w:rFonts w:ascii="Times New Roman" w:hAnsi="Times New Roman" w:cs="Times New Roman"/>
          <w:sz w:val="24"/>
          <w:szCs w:val="24"/>
        </w:rPr>
        <w:t>hyperdivergent</w:t>
      </w:r>
      <w:proofErr w:type="spellEnd"/>
      <w:r w:rsidR="004D19FC">
        <w:rPr>
          <w:rFonts w:ascii="Times New Roman" w:hAnsi="Times New Roman" w:cs="Times New Roman"/>
          <w:sz w:val="24"/>
          <w:szCs w:val="24"/>
        </w:rPr>
        <w:t xml:space="preserve"> </w:t>
      </w:r>
      <w:r w:rsidRPr="00AE1B94">
        <w:rPr>
          <w:rFonts w:ascii="Times New Roman" w:hAnsi="Times New Roman" w:cs="Times New Roman"/>
          <w:b/>
          <w:bCs/>
          <w:sz w:val="24"/>
          <w:szCs w:val="24"/>
        </w:rPr>
        <w:t>(Table 5)</w:t>
      </w:r>
      <w:r w:rsidRPr="00AE1B94">
        <w:rPr>
          <w:rFonts w:ascii="Times New Roman" w:hAnsi="Times New Roman" w:cs="Times New Roman"/>
          <w:sz w:val="24"/>
          <w:szCs w:val="24"/>
        </w:rPr>
        <w:t xml:space="preserve">. In females a strong correlation coefficient was observed with 41 to lower facial height. This observation revealed that 41 had significant correlation both clinically and statistically in </w:t>
      </w:r>
      <w:proofErr w:type="spellStart"/>
      <w:r w:rsidRPr="00AE1B94">
        <w:rPr>
          <w:rFonts w:ascii="Times New Roman" w:hAnsi="Times New Roman" w:cs="Times New Roman"/>
          <w:sz w:val="24"/>
          <w:szCs w:val="24"/>
        </w:rPr>
        <w:t>hypodivergent</w:t>
      </w:r>
      <w:proofErr w:type="spellEnd"/>
      <w:r w:rsidRPr="00AE1B94">
        <w:rPr>
          <w:rFonts w:ascii="Times New Roman" w:hAnsi="Times New Roman" w:cs="Times New Roman"/>
          <w:sz w:val="24"/>
          <w:szCs w:val="24"/>
        </w:rPr>
        <w:t xml:space="preserve"> and </w:t>
      </w:r>
      <w:proofErr w:type="spellStart"/>
      <w:r w:rsidRPr="00AE1B94">
        <w:rPr>
          <w:rFonts w:ascii="Times New Roman" w:hAnsi="Times New Roman" w:cs="Times New Roman"/>
          <w:sz w:val="24"/>
          <w:szCs w:val="24"/>
        </w:rPr>
        <w:t>hyperdivergent</w:t>
      </w:r>
      <w:proofErr w:type="spellEnd"/>
      <w:r w:rsidRPr="00AE1B94">
        <w:rPr>
          <w:rFonts w:ascii="Times New Roman" w:hAnsi="Times New Roman" w:cs="Times New Roman"/>
          <w:sz w:val="24"/>
          <w:szCs w:val="24"/>
        </w:rPr>
        <w:t xml:space="preserve"> patient </w:t>
      </w:r>
      <w:r w:rsidR="00024402">
        <w:rPr>
          <w:rFonts w:ascii="Times New Roman" w:hAnsi="Times New Roman" w:cs="Times New Roman"/>
          <w:b/>
          <w:bCs/>
          <w:sz w:val="24"/>
          <w:szCs w:val="24"/>
        </w:rPr>
        <w:t>(Table 4).</w:t>
      </w:r>
    </w:p>
    <w:p w:rsidR="00454217" w:rsidRPr="00AE1B94" w:rsidRDefault="007A5895" w:rsidP="00AE1B94">
      <w:pPr>
        <w:autoSpaceDE w:val="0"/>
        <w:autoSpaceDN w:val="0"/>
        <w:adjustRightInd w:val="0"/>
        <w:spacing w:after="0" w:line="240" w:lineRule="auto"/>
        <w:jc w:val="both"/>
        <w:rPr>
          <w:rFonts w:ascii="Times New Roman" w:hAnsi="Times New Roman" w:cs="Times New Roman"/>
          <w:sz w:val="24"/>
          <w:szCs w:val="24"/>
        </w:rPr>
      </w:pPr>
      <w:r w:rsidRPr="00AE1B94">
        <w:rPr>
          <w:rFonts w:ascii="Times New Roman" w:hAnsi="Times New Roman" w:cs="Times New Roman"/>
          <w:sz w:val="24"/>
          <w:szCs w:val="24"/>
        </w:rPr>
        <w:t>We found that 41 contributed more proportionally to lower facial height than the maxillary dental height.</w:t>
      </w:r>
      <w:r w:rsidR="00E8255E" w:rsidRPr="00AE1B94">
        <w:rPr>
          <w:rFonts w:ascii="Times New Roman" w:hAnsi="Times New Roman" w:cs="Times New Roman"/>
          <w:sz w:val="24"/>
          <w:szCs w:val="24"/>
        </w:rPr>
        <w:t xml:space="preserve"> </w:t>
      </w:r>
      <w:r w:rsidRPr="00AE1B94">
        <w:rPr>
          <w:rFonts w:ascii="Times New Roman" w:hAnsi="Times New Roman" w:cs="Times New Roman"/>
          <w:sz w:val="24"/>
          <w:szCs w:val="24"/>
        </w:rPr>
        <w:t>The propor</w:t>
      </w:r>
      <w:r w:rsidR="00E8255E" w:rsidRPr="00AE1B94">
        <w:rPr>
          <w:rFonts w:ascii="Times New Roman" w:hAnsi="Times New Roman" w:cs="Times New Roman"/>
          <w:sz w:val="24"/>
          <w:szCs w:val="24"/>
        </w:rPr>
        <w:t xml:space="preserve">tionally dental heights in </w:t>
      </w:r>
      <w:proofErr w:type="spellStart"/>
      <w:r w:rsidR="00E8255E" w:rsidRPr="00AE1B94">
        <w:rPr>
          <w:rFonts w:ascii="Times New Roman" w:hAnsi="Times New Roman" w:cs="Times New Roman"/>
          <w:sz w:val="24"/>
          <w:szCs w:val="24"/>
        </w:rPr>
        <w:t>hypo</w:t>
      </w:r>
      <w:r w:rsidRPr="00AE1B94">
        <w:rPr>
          <w:rFonts w:ascii="Times New Roman" w:hAnsi="Times New Roman" w:cs="Times New Roman"/>
          <w:sz w:val="24"/>
          <w:szCs w:val="24"/>
        </w:rPr>
        <w:t>divergent</w:t>
      </w:r>
      <w:proofErr w:type="spellEnd"/>
      <w:r w:rsidRPr="00AE1B94">
        <w:rPr>
          <w:rFonts w:ascii="Times New Roman" w:hAnsi="Times New Roman" w:cs="Times New Roman"/>
          <w:sz w:val="24"/>
          <w:szCs w:val="24"/>
        </w:rPr>
        <w:t xml:space="preserve"> types showed no significant</w:t>
      </w:r>
      <w:r w:rsidR="00E8255E" w:rsidRPr="00AE1B94">
        <w:rPr>
          <w:rFonts w:ascii="Times New Roman" w:hAnsi="Times New Roman" w:cs="Times New Roman"/>
          <w:sz w:val="24"/>
          <w:szCs w:val="24"/>
        </w:rPr>
        <w:t xml:space="preserve"> except 41</w:t>
      </w:r>
      <w:r w:rsidRPr="00AE1B94">
        <w:rPr>
          <w:rFonts w:ascii="Times New Roman" w:hAnsi="Times New Roman" w:cs="Times New Roman"/>
          <w:sz w:val="24"/>
          <w:szCs w:val="24"/>
        </w:rPr>
        <w:t xml:space="preserve"> differences from the proportional dental heights i</w:t>
      </w:r>
      <w:r w:rsidR="00E8255E" w:rsidRPr="00AE1B94">
        <w:rPr>
          <w:rFonts w:ascii="Times New Roman" w:hAnsi="Times New Roman" w:cs="Times New Roman"/>
          <w:sz w:val="24"/>
          <w:szCs w:val="24"/>
        </w:rPr>
        <w:t xml:space="preserve">n </w:t>
      </w:r>
      <w:proofErr w:type="spellStart"/>
      <w:r w:rsidR="00E8255E" w:rsidRPr="00AE1B94">
        <w:rPr>
          <w:rFonts w:ascii="Times New Roman" w:hAnsi="Times New Roman" w:cs="Times New Roman"/>
          <w:sz w:val="24"/>
          <w:szCs w:val="24"/>
        </w:rPr>
        <w:t>normo</w:t>
      </w:r>
      <w:r w:rsidR="00C73B95" w:rsidRPr="00AE1B94">
        <w:rPr>
          <w:rFonts w:ascii="Times New Roman" w:hAnsi="Times New Roman" w:cs="Times New Roman"/>
          <w:sz w:val="24"/>
          <w:szCs w:val="24"/>
        </w:rPr>
        <w:t>divergent</w:t>
      </w:r>
      <w:proofErr w:type="spellEnd"/>
      <w:r w:rsidRPr="00AE1B94">
        <w:rPr>
          <w:rFonts w:ascii="Times New Roman" w:hAnsi="Times New Roman" w:cs="Times New Roman"/>
          <w:sz w:val="24"/>
          <w:szCs w:val="24"/>
        </w:rPr>
        <w:t xml:space="preserve"> patients.</w:t>
      </w:r>
      <w:r w:rsidR="00C73B95" w:rsidRPr="00AE1B94">
        <w:rPr>
          <w:rFonts w:ascii="Times New Roman" w:hAnsi="Times New Roman" w:cs="Times New Roman"/>
          <w:sz w:val="24"/>
          <w:szCs w:val="24"/>
        </w:rPr>
        <w:t xml:space="preserve"> The </w:t>
      </w:r>
      <w:proofErr w:type="spellStart"/>
      <w:r w:rsidR="00C73B95" w:rsidRPr="00AE1B94">
        <w:rPr>
          <w:rFonts w:ascii="Times New Roman" w:hAnsi="Times New Roman" w:cs="Times New Roman"/>
          <w:sz w:val="24"/>
          <w:szCs w:val="24"/>
        </w:rPr>
        <w:t>hyperdivergent</w:t>
      </w:r>
      <w:proofErr w:type="spellEnd"/>
      <w:r w:rsidR="00C73B95" w:rsidRPr="00AE1B94">
        <w:rPr>
          <w:rFonts w:ascii="Times New Roman" w:hAnsi="Times New Roman" w:cs="Times New Roman"/>
          <w:sz w:val="24"/>
          <w:szCs w:val="24"/>
        </w:rPr>
        <w:t xml:space="preserve"> patient, however, recorded significant differences </w:t>
      </w:r>
      <w:r w:rsidR="00E8255E" w:rsidRPr="00AE1B94">
        <w:rPr>
          <w:rFonts w:ascii="Times New Roman" w:hAnsi="Times New Roman" w:cs="Times New Roman"/>
          <w:sz w:val="24"/>
          <w:szCs w:val="24"/>
        </w:rPr>
        <w:t xml:space="preserve">of except 16 of all of their proportional dental heights when compared to </w:t>
      </w:r>
      <w:proofErr w:type="spellStart"/>
      <w:r w:rsidR="00E8255E" w:rsidRPr="00AE1B94">
        <w:rPr>
          <w:rFonts w:ascii="Times New Roman" w:hAnsi="Times New Roman" w:cs="Times New Roman"/>
          <w:sz w:val="24"/>
          <w:szCs w:val="24"/>
        </w:rPr>
        <w:t>normodivergent</w:t>
      </w:r>
      <w:proofErr w:type="spellEnd"/>
      <w:r w:rsidR="00E8255E" w:rsidRPr="00AE1B94">
        <w:rPr>
          <w:rFonts w:ascii="Times New Roman" w:hAnsi="Times New Roman" w:cs="Times New Roman"/>
          <w:sz w:val="24"/>
          <w:szCs w:val="24"/>
        </w:rPr>
        <w:t xml:space="preserve"> patient</w:t>
      </w:r>
      <w:r w:rsidR="004D19FC">
        <w:rPr>
          <w:rFonts w:ascii="Times New Roman" w:hAnsi="Times New Roman" w:cs="Times New Roman"/>
          <w:sz w:val="24"/>
          <w:szCs w:val="24"/>
        </w:rPr>
        <w:t xml:space="preserve"> </w:t>
      </w:r>
      <w:r w:rsidR="00E8255E" w:rsidRPr="00AE1B94">
        <w:rPr>
          <w:rFonts w:ascii="Times New Roman" w:hAnsi="Times New Roman" w:cs="Times New Roman"/>
          <w:b/>
          <w:sz w:val="24"/>
          <w:szCs w:val="24"/>
        </w:rPr>
        <w:t>(Table 7).</w:t>
      </w:r>
      <w:r w:rsidR="00E8255E" w:rsidRPr="00AE1B94">
        <w:rPr>
          <w:rFonts w:ascii="Times New Roman" w:hAnsi="Times New Roman" w:cs="Times New Roman"/>
          <w:sz w:val="24"/>
          <w:szCs w:val="24"/>
        </w:rPr>
        <w:t xml:space="preserve"> </w:t>
      </w:r>
      <w:proofErr w:type="gramStart"/>
      <w:r w:rsidR="00E8255E" w:rsidRPr="00AE1B94">
        <w:rPr>
          <w:rFonts w:ascii="Times New Roman" w:hAnsi="Times New Roman" w:cs="Times New Roman"/>
          <w:sz w:val="24"/>
          <w:szCs w:val="24"/>
        </w:rPr>
        <w:t>by</w:t>
      </w:r>
      <w:proofErr w:type="gramEnd"/>
      <w:r w:rsidR="00E8255E" w:rsidRPr="00AE1B94">
        <w:rPr>
          <w:rFonts w:ascii="Times New Roman" w:hAnsi="Times New Roman" w:cs="Times New Roman"/>
          <w:sz w:val="24"/>
          <w:szCs w:val="24"/>
        </w:rPr>
        <w:t xml:space="preserve"> </w:t>
      </w:r>
      <w:proofErr w:type="spellStart"/>
      <w:r w:rsidR="00E8255E" w:rsidRPr="00AE1B94">
        <w:rPr>
          <w:rFonts w:ascii="Times New Roman" w:hAnsi="Times New Roman" w:cs="Times New Roman"/>
          <w:sz w:val="24"/>
          <w:szCs w:val="24"/>
        </w:rPr>
        <w:t>R.J.parlow</w:t>
      </w:r>
      <w:proofErr w:type="spellEnd"/>
      <w:r w:rsidR="00E8255E" w:rsidRPr="00AE1B94">
        <w:rPr>
          <w:rFonts w:ascii="Times New Roman" w:hAnsi="Times New Roman" w:cs="Times New Roman"/>
          <w:sz w:val="24"/>
          <w:szCs w:val="24"/>
        </w:rPr>
        <w:t xml:space="preserve"> The proportionally dental heights in </w:t>
      </w:r>
      <w:proofErr w:type="spellStart"/>
      <w:r w:rsidR="00E8255E" w:rsidRPr="00AE1B94">
        <w:rPr>
          <w:rFonts w:ascii="Times New Roman" w:hAnsi="Times New Roman" w:cs="Times New Roman"/>
          <w:sz w:val="24"/>
          <w:szCs w:val="24"/>
        </w:rPr>
        <w:t>hypodivergent</w:t>
      </w:r>
      <w:proofErr w:type="spellEnd"/>
      <w:r w:rsidR="00E8255E" w:rsidRPr="00AE1B94">
        <w:rPr>
          <w:rFonts w:ascii="Times New Roman" w:hAnsi="Times New Roman" w:cs="Times New Roman"/>
          <w:sz w:val="24"/>
          <w:szCs w:val="24"/>
        </w:rPr>
        <w:t xml:space="preserve"> types showed no significant differences from the proportional den</w:t>
      </w:r>
      <w:r w:rsidR="00024402">
        <w:rPr>
          <w:rFonts w:ascii="Times New Roman" w:hAnsi="Times New Roman" w:cs="Times New Roman"/>
          <w:sz w:val="24"/>
          <w:szCs w:val="24"/>
        </w:rPr>
        <w:t xml:space="preserve">tal heights in normal patients. </w:t>
      </w:r>
      <w:r w:rsidR="00E8255E" w:rsidRPr="00AE1B94">
        <w:rPr>
          <w:rFonts w:ascii="Times New Roman" w:hAnsi="Times New Roman" w:cs="Times New Roman"/>
          <w:sz w:val="24"/>
          <w:szCs w:val="24"/>
        </w:rPr>
        <w:t xml:space="preserve">The </w:t>
      </w:r>
      <w:proofErr w:type="spellStart"/>
      <w:r w:rsidR="00E8255E" w:rsidRPr="00AE1B94">
        <w:rPr>
          <w:rFonts w:ascii="Times New Roman" w:hAnsi="Times New Roman" w:cs="Times New Roman"/>
          <w:sz w:val="24"/>
          <w:szCs w:val="24"/>
        </w:rPr>
        <w:t>hyperdivergent</w:t>
      </w:r>
      <w:proofErr w:type="spellEnd"/>
      <w:r w:rsidR="00E8255E" w:rsidRPr="00AE1B94">
        <w:rPr>
          <w:rFonts w:ascii="Times New Roman" w:hAnsi="Times New Roman" w:cs="Times New Roman"/>
          <w:sz w:val="24"/>
          <w:szCs w:val="24"/>
        </w:rPr>
        <w:t xml:space="preserve"> patient significant differences of all of their proportional dental heights when compared to </w:t>
      </w:r>
      <w:proofErr w:type="spellStart"/>
      <w:r w:rsidR="00E8255E" w:rsidRPr="00AE1B94">
        <w:rPr>
          <w:rFonts w:ascii="Times New Roman" w:hAnsi="Times New Roman" w:cs="Times New Roman"/>
          <w:sz w:val="24"/>
          <w:szCs w:val="24"/>
        </w:rPr>
        <w:t>normodivergent</w:t>
      </w:r>
      <w:proofErr w:type="spellEnd"/>
      <w:r w:rsidR="00E8255E" w:rsidRPr="00AE1B94">
        <w:rPr>
          <w:rFonts w:ascii="Times New Roman" w:hAnsi="Times New Roman" w:cs="Times New Roman"/>
          <w:sz w:val="24"/>
          <w:szCs w:val="24"/>
        </w:rPr>
        <w:t xml:space="preserve"> patient</w:t>
      </w:r>
      <w:r w:rsidR="00E8255E" w:rsidRPr="00AE1B94">
        <w:rPr>
          <w:rFonts w:ascii="Times New Roman" w:hAnsi="Times New Roman" w:cs="Times New Roman"/>
          <w:sz w:val="24"/>
          <w:szCs w:val="24"/>
          <w:vertAlign w:val="superscript"/>
        </w:rPr>
        <w:t>15</w:t>
      </w:r>
      <w:r w:rsidR="00454217" w:rsidRPr="00AE1B94">
        <w:rPr>
          <w:rFonts w:ascii="Times New Roman" w:hAnsi="Times New Roman" w:cs="Times New Roman"/>
          <w:sz w:val="24"/>
          <w:szCs w:val="24"/>
        </w:rPr>
        <w:t xml:space="preserve"> When linear measurements were substituted for the proportional dental heights in each vertical classification, it was seen that in </w:t>
      </w:r>
      <w:proofErr w:type="spellStart"/>
      <w:r w:rsidR="00454217" w:rsidRPr="00AE1B94">
        <w:rPr>
          <w:rFonts w:ascii="Times New Roman" w:hAnsi="Times New Roman" w:cs="Times New Roman"/>
          <w:sz w:val="24"/>
          <w:szCs w:val="24"/>
        </w:rPr>
        <w:t>hypodivergent</w:t>
      </w:r>
      <w:proofErr w:type="spellEnd"/>
      <w:r w:rsidR="00454217" w:rsidRPr="00AE1B94">
        <w:rPr>
          <w:rFonts w:ascii="Times New Roman" w:hAnsi="Times New Roman" w:cs="Times New Roman"/>
          <w:sz w:val="24"/>
          <w:szCs w:val="24"/>
        </w:rPr>
        <w:t xml:space="preserve"> patients all the teeth were infra-erupted. The anterior dental height in </w:t>
      </w:r>
      <w:proofErr w:type="spellStart"/>
      <w:r w:rsidR="00454217" w:rsidRPr="00AE1B94">
        <w:rPr>
          <w:rFonts w:ascii="Times New Roman" w:hAnsi="Times New Roman" w:cs="Times New Roman"/>
          <w:sz w:val="24"/>
          <w:szCs w:val="24"/>
        </w:rPr>
        <w:t>hypodivergent</w:t>
      </w:r>
      <w:proofErr w:type="spellEnd"/>
      <w:r w:rsidR="00454217" w:rsidRPr="00AE1B94">
        <w:rPr>
          <w:rFonts w:ascii="Times New Roman" w:hAnsi="Times New Roman" w:cs="Times New Roman"/>
          <w:sz w:val="24"/>
          <w:szCs w:val="24"/>
        </w:rPr>
        <w:t xml:space="preserve"> patients decreased approximately twice as much as the posterior dental height. When substitution of linear measurements was accomplished in the </w:t>
      </w:r>
      <w:proofErr w:type="spellStart"/>
      <w:r w:rsidR="00454217" w:rsidRPr="00AE1B94">
        <w:rPr>
          <w:rFonts w:ascii="Times New Roman" w:hAnsi="Times New Roman" w:cs="Times New Roman"/>
          <w:sz w:val="24"/>
          <w:szCs w:val="24"/>
        </w:rPr>
        <w:t>hyperdivergent</w:t>
      </w:r>
      <w:proofErr w:type="spellEnd"/>
      <w:r w:rsidR="00454217" w:rsidRPr="00AE1B94">
        <w:rPr>
          <w:rFonts w:ascii="Times New Roman" w:hAnsi="Times New Roman" w:cs="Times New Roman"/>
          <w:sz w:val="24"/>
          <w:szCs w:val="24"/>
        </w:rPr>
        <w:t xml:space="preserve"> patterns, all the teeth appeared supra-erupted. The anterior dental height in </w:t>
      </w:r>
      <w:proofErr w:type="spellStart"/>
      <w:r w:rsidR="00454217" w:rsidRPr="00AE1B94">
        <w:rPr>
          <w:rFonts w:ascii="Times New Roman" w:hAnsi="Times New Roman" w:cs="Times New Roman"/>
          <w:sz w:val="24"/>
          <w:szCs w:val="24"/>
        </w:rPr>
        <w:lastRenderedPageBreak/>
        <w:t>hyperdivergent</w:t>
      </w:r>
      <w:proofErr w:type="spellEnd"/>
      <w:r w:rsidR="00454217" w:rsidRPr="00AE1B94">
        <w:rPr>
          <w:rFonts w:ascii="Times New Roman" w:hAnsi="Times New Roman" w:cs="Times New Roman"/>
          <w:sz w:val="24"/>
          <w:szCs w:val="24"/>
        </w:rPr>
        <w:t xml:space="preserve"> patients increased approximately twice as much as the posterior dental height. In </w:t>
      </w:r>
      <w:proofErr w:type="spellStart"/>
      <w:r w:rsidR="00454217" w:rsidRPr="00AE1B94">
        <w:rPr>
          <w:rFonts w:ascii="Times New Roman" w:hAnsi="Times New Roman" w:cs="Times New Roman"/>
          <w:sz w:val="24"/>
          <w:szCs w:val="24"/>
        </w:rPr>
        <w:t>hypodivergent</w:t>
      </w:r>
      <w:proofErr w:type="spellEnd"/>
      <w:r w:rsidR="00454217" w:rsidRPr="00AE1B94">
        <w:rPr>
          <w:rFonts w:ascii="Times New Roman" w:hAnsi="Times New Roman" w:cs="Times New Roman"/>
          <w:sz w:val="24"/>
          <w:szCs w:val="24"/>
        </w:rPr>
        <w:t xml:space="preserve"> and </w:t>
      </w:r>
      <w:proofErr w:type="spellStart"/>
      <w:r w:rsidR="00454217" w:rsidRPr="00AE1B94">
        <w:rPr>
          <w:rFonts w:ascii="Times New Roman" w:hAnsi="Times New Roman" w:cs="Times New Roman"/>
          <w:sz w:val="24"/>
          <w:szCs w:val="24"/>
        </w:rPr>
        <w:t>hyperdivergent</w:t>
      </w:r>
      <w:proofErr w:type="spellEnd"/>
      <w:r w:rsidR="00454217" w:rsidRPr="00AE1B94">
        <w:rPr>
          <w:rFonts w:ascii="Times New Roman" w:hAnsi="Times New Roman" w:cs="Times New Roman"/>
          <w:sz w:val="24"/>
          <w:szCs w:val="24"/>
        </w:rPr>
        <w:t xml:space="preserve"> skeletal </w:t>
      </w:r>
      <w:proofErr w:type="spellStart"/>
      <w:r w:rsidR="00454217" w:rsidRPr="00AE1B94">
        <w:rPr>
          <w:rFonts w:ascii="Times New Roman" w:hAnsi="Times New Roman" w:cs="Times New Roman"/>
          <w:sz w:val="24"/>
          <w:szCs w:val="24"/>
        </w:rPr>
        <w:t>dysplasias</w:t>
      </w:r>
      <w:proofErr w:type="spellEnd"/>
      <w:r w:rsidR="00454217" w:rsidRPr="00AE1B94">
        <w:rPr>
          <w:rFonts w:ascii="Times New Roman" w:hAnsi="Times New Roman" w:cs="Times New Roman"/>
          <w:sz w:val="24"/>
          <w:szCs w:val="24"/>
        </w:rPr>
        <w:t xml:space="preserve">, the anterior teeth were infra-erupted and </w:t>
      </w:r>
      <w:proofErr w:type="spellStart"/>
      <w:r w:rsidR="00454217" w:rsidRPr="00AE1B94">
        <w:rPr>
          <w:rFonts w:ascii="Times New Roman" w:hAnsi="Times New Roman" w:cs="Times New Roman"/>
          <w:sz w:val="24"/>
          <w:szCs w:val="24"/>
        </w:rPr>
        <w:t>supraerupted</w:t>
      </w:r>
      <w:proofErr w:type="spellEnd"/>
      <w:r w:rsidR="00454217" w:rsidRPr="00AE1B94">
        <w:rPr>
          <w:rFonts w:ascii="Times New Roman" w:hAnsi="Times New Roman" w:cs="Times New Roman"/>
          <w:sz w:val="24"/>
          <w:szCs w:val="24"/>
        </w:rPr>
        <w:t>, respectively, more than the posterior teeth. The showed significant increases as the vertical height increased.</w:t>
      </w:r>
    </w:p>
    <w:p w:rsidR="00E8255E" w:rsidRPr="00AE1B94" w:rsidRDefault="00454217" w:rsidP="00AE1B94">
      <w:pPr>
        <w:autoSpaceDE w:val="0"/>
        <w:autoSpaceDN w:val="0"/>
        <w:adjustRightInd w:val="0"/>
        <w:spacing w:after="0" w:line="240" w:lineRule="auto"/>
        <w:jc w:val="both"/>
        <w:rPr>
          <w:rFonts w:ascii="Times New Roman" w:hAnsi="Times New Roman" w:cs="Times New Roman"/>
          <w:sz w:val="24"/>
          <w:szCs w:val="24"/>
        </w:rPr>
      </w:pPr>
      <w:r w:rsidRPr="00AE1B94">
        <w:rPr>
          <w:rFonts w:ascii="Times New Roman" w:hAnsi="Times New Roman" w:cs="Times New Roman"/>
          <w:sz w:val="24"/>
          <w:szCs w:val="24"/>
        </w:rPr>
        <w:t xml:space="preserve">The overbite was shown to increase significantly over normal patterns in </w:t>
      </w:r>
      <w:proofErr w:type="spellStart"/>
      <w:r w:rsidRPr="00AE1B94">
        <w:rPr>
          <w:rFonts w:ascii="Times New Roman" w:hAnsi="Times New Roman" w:cs="Times New Roman"/>
          <w:sz w:val="24"/>
          <w:szCs w:val="24"/>
        </w:rPr>
        <w:t>hypodivergent</w:t>
      </w:r>
      <w:proofErr w:type="spellEnd"/>
      <w:r w:rsidRPr="00AE1B94">
        <w:rPr>
          <w:rFonts w:ascii="Times New Roman" w:hAnsi="Times New Roman" w:cs="Times New Roman"/>
          <w:sz w:val="24"/>
          <w:szCs w:val="24"/>
        </w:rPr>
        <w:t xml:space="preserve"> patterns and to decrease significantly in </w:t>
      </w:r>
      <w:proofErr w:type="spellStart"/>
      <w:r w:rsidRPr="00AE1B94">
        <w:rPr>
          <w:rFonts w:ascii="Times New Roman" w:hAnsi="Times New Roman" w:cs="Times New Roman"/>
          <w:sz w:val="24"/>
          <w:szCs w:val="24"/>
        </w:rPr>
        <w:t>hyperdivergent</w:t>
      </w:r>
      <w:proofErr w:type="spellEnd"/>
      <w:r w:rsidRPr="00AE1B94">
        <w:rPr>
          <w:rFonts w:ascii="Times New Roman" w:hAnsi="Times New Roman" w:cs="Times New Roman"/>
          <w:sz w:val="24"/>
          <w:szCs w:val="24"/>
        </w:rPr>
        <w:t xml:space="preserve"> patterns. There were no correlations between proportional dental heights and overbite in any of the vertical classifications. Relatively few correlations between proportional dental heights were recorded for the skeletal </w:t>
      </w:r>
      <w:proofErr w:type="spellStart"/>
      <w:r w:rsidRPr="00AE1B94">
        <w:rPr>
          <w:rFonts w:ascii="Times New Roman" w:hAnsi="Times New Roman" w:cs="Times New Roman"/>
          <w:sz w:val="24"/>
          <w:szCs w:val="24"/>
        </w:rPr>
        <w:t>dysplasias</w:t>
      </w:r>
      <w:proofErr w:type="spellEnd"/>
      <w:r w:rsidRPr="00AE1B94">
        <w:rPr>
          <w:rFonts w:ascii="Times New Roman" w:hAnsi="Times New Roman" w:cs="Times New Roman"/>
          <w:sz w:val="24"/>
          <w:szCs w:val="24"/>
        </w:rPr>
        <w:t xml:space="preserve"> other than the teeth proportioned with each other. The </w:t>
      </w:r>
      <w:proofErr w:type="spellStart"/>
      <w:r w:rsidR="00AE1B94" w:rsidRPr="00AE1B94">
        <w:rPr>
          <w:rFonts w:ascii="Times New Roman" w:hAnsi="Times New Roman" w:cs="Times New Roman"/>
          <w:sz w:val="24"/>
          <w:szCs w:val="24"/>
        </w:rPr>
        <w:t>hyperdivergent</w:t>
      </w:r>
      <w:proofErr w:type="spellEnd"/>
      <w:r w:rsidRPr="00AE1B94">
        <w:rPr>
          <w:rFonts w:ascii="Times New Roman" w:hAnsi="Times New Roman" w:cs="Times New Roman"/>
          <w:sz w:val="24"/>
          <w:szCs w:val="24"/>
        </w:rPr>
        <w:t xml:space="preserve"> vertical patterns showed correlations between all proportional dental heights</w:t>
      </w:r>
      <w:r w:rsidR="00AE1B94" w:rsidRPr="00AE1B94">
        <w:rPr>
          <w:rFonts w:ascii="Times New Roman" w:hAnsi="Times New Roman" w:cs="Times New Roman"/>
          <w:sz w:val="24"/>
          <w:szCs w:val="24"/>
        </w:rPr>
        <w:t xml:space="preserve"> except 16</w:t>
      </w:r>
      <w:r w:rsidRPr="00AE1B94">
        <w:rPr>
          <w:rFonts w:ascii="Times New Roman" w:hAnsi="Times New Roman" w:cs="Times New Roman"/>
          <w:sz w:val="24"/>
          <w:szCs w:val="24"/>
        </w:rPr>
        <w:t>. No correlations existed between dental height and amount of discrepancy present.</w:t>
      </w:r>
    </w:p>
    <w:p w:rsidR="00D27C4A" w:rsidRPr="00AE1B94" w:rsidRDefault="0002015C" w:rsidP="00AE1B94">
      <w:pPr>
        <w:autoSpaceDE w:val="0"/>
        <w:autoSpaceDN w:val="0"/>
        <w:adjustRightInd w:val="0"/>
        <w:spacing w:after="0" w:line="240" w:lineRule="auto"/>
        <w:jc w:val="both"/>
        <w:rPr>
          <w:rFonts w:ascii="Times New Roman" w:hAnsi="Times New Roman" w:cs="Times New Roman"/>
          <w:sz w:val="24"/>
          <w:szCs w:val="24"/>
        </w:rPr>
      </w:pPr>
      <w:proofErr w:type="gramStart"/>
      <w:r w:rsidRPr="00AE1B94">
        <w:rPr>
          <w:rFonts w:ascii="Times New Roman" w:hAnsi="Times New Roman" w:cs="Times New Roman"/>
          <w:sz w:val="24"/>
          <w:szCs w:val="24"/>
        </w:rPr>
        <w:t xml:space="preserve">When comparison of correlation coefficient between lower facial height </w:t>
      </w:r>
      <w:r w:rsidR="00C4314C">
        <w:rPr>
          <w:rFonts w:ascii="Times New Roman" w:hAnsi="Times New Roman" w:cs="Times New Roman"/>
          <w:sz w:val="24"/>
          <w:szCs w:val="24"/>
        </w:rPr>
        <w:t>of</w:t>
      </w:r>
      <w:r w:rsidR="005D1600">
        <w:rPr>
          <w:rFonts w:ascii="Times New Roman" w:hAnsi="Times New Roman" w:cs="Times New Roman"/>
          <w:sz w:val="24"/>
          <w:szCs w:val="24"/>
        </w:rPr>
        <w:t xml:space="preserve"> </w:t>
      </w:r>
      <w:r w:rsidRPr="00AE1B94">
        <w:rPr>
          <w:rFonts w:ascii="Times New Roman" w:hAnsi="Times New Roman" w:cs="Times New Roman"/>
          <w:sz w:val="24"/>
          <w:szCs w:val="24"/>
        </w:rPr>
        <w:t xml:space="preserve">11, 16, 41, and 46 to males and females was done in </w:t>
      </w:r>
      <w:proofErr w:type="spellStart"/>
      <w:r w:rsidRPr="00AE1B94">
        <w:rPr>
          <w:rFonts w:ascii="Times New Roman" w:hAnsi="Times New Roman" w:cs="Times New Roman"/>
          <w:sz w:val="24"/>
          <w:szCs w:val="24"/>
        </w:rPr>
        <w:t>hypodivergent</w:t>
      </w:r>
      <w:proofErr w:type="spellEnd"/>
      <w:r w:rsidRPr="00AE1B94">
        <w:rPr>
          <w:rFonts w:ascii="Times New Roman" w:hAnsi="Times New Roman" w:cs="Times New Roman"/>
          <w:sz w:val="24"/>
          <w:szCs w:val="24"/>
        </w:rPr>
        <w:t xml:space="preserve"> patient lower central incisor &amp; in </w:t>
      </w:r>
      <w:proofErr w:type="spellStart"/>
      <w:r w:rsidRPr="00AE1B94">
        <w:rPr>
          <w:rFonts w:ascii="Times New Roman" w:hAnsi="Times New Roman" w:cs="Times New Roman"/>
          <w:sz w:val="24"/>
          <w:szCs w:val="24"/>
        </w:rPr>
        <w:t>hyperdivergent</w:t>
      </w:r>
      <w:proofErr w:type="spellEnd"/>
      <w:r w:rsidRPr="00AE1B94">
        <w:rPr>
          <w:rFonts w:ascii="Times New Roman" w:hAnsi="Times New Roman" w:cs="Times New Roman"/>
          <w:sz w:val="24"/>
          <w:szCs w:val="24"/>
        </w:rPr>
        <w:t xml:space="preserve"> patient clinical central upper incisor, central lower incisor and molar revealed statistical significance.</w:t>
      </w:r>
      <w:proofErr w:type="gramEnd"/>
      <w:r w:rsidRPr="00AE1B94">
        <w:rPr>
          <w:rFonts w:ascii="Times New Roman" w:hAnsi="Times New Roman" w:cs="Times New Roman"/>
          <w:sz w:val="24"/>
          <w:szCs w:val="24"/>
        </w:rPr>
        <w:t xml:space="preserve"> 11, 41 and 46 revealed significance at 99% confid</w:t>
      </w:r>
      <w:r w:rsidR="00024402">
        <w:rPr>
          <w:rFonts w:ascii="Times New Roman" w:hAnsi="Times New Roman" w:cs="Times New Roman"/>
          <w:sz w:val="24"/>
          <w:szCs w:val="24"/>
        </w:rPr>
        <w:t xml:space="preserve">ence interval in </w:t>
      </w:r>
      <w:proofErr w:type="spellStart"/>
      <w:r w:rsidR="00024402">
        <w:rPr>
          <w:rFonts w:ascii="Times New Roman" w:hAnsi="Times New Roman" w:cs="Times New Roman"/>
          <w:sz w:val="24"/>
          <w:szCs w:val="24"/>
        </w:rPr>
        <w:t>hyperdivergent</w:t>
      </w:r>
      <w:proofErr w:type="spellEnd"/>
      <w:r w:rsidR="004D19FC">
        <w:rPr>
          <w:rFonts w:ascii="Times New Roman" w:hAnsi="Times New Roman" w:cs="Times New Roman"/>
          <w:sz w:val="24"/>
          <w:szCs w:val="24"/>
        </w:rPr>
        <w:t xml:space="preserve"> </w:t>
      </w:r>
      <w:r w:rsidRPr="00AE1B94">
        <w:rPr>
          <w:rFonts w:ascii="Times New Roman" w:hAnsi="Times New Roman" w:cs="Times New Roman"/>
          <w:b/>
          <w:bCs/>
          <w:sz w:val="24"/>
          <w:szCs w:val="24"/>
        </w:rPr>
        <w:t>(Table 7).</w:t>
      </w:r>
    </w:p>
    <w:p w:rsidR="00E3620A" w:rsidRDefault="00E3620A" w:rsidP="00985AE3">
      <w:pPr>
        <w:autoSpaceDE w:val="0"/>
        <w:autoSpaceDN w:val="0"/>
        <w:adjustRightInd w:val="0"/>
        <w:spacing w:after="0" w:line="240" w:lineRule="auto"/>
        <w:jc w:val="both"/>
        <w:rPr>
          <w:rFonts w:ascii="Times New Roman" w:hAnsi="Times New Roman" w:cs="Times New Roman"/>
          <w:b/>
          <w:bCs/>
          <w:color w:val="000000"/>
          <w:sz w:val="24"/>
          <w:szCs w:val="24"/>
        </w:rPr>
      </w:pPr>
    </w:p>
    <w:p w:rsidR="0015206D" w:rsidRDefault="003131D3" w:rsidP="00985AE3">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Conclusion </w:t>
      </w:r>
    </w:p>
    <w:p w:rsidR="00E3620A" w:rsidRDefault="006E6716" w:rsidP="000B1EC8">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sz w:val="24"/>
          <w:szCs w:val="24"/>
        </w:rPr>
        <w:t xml:space="preserve">On </w:t>
      </w:r>
      <w:r w:rsidR="005D1600">
        <w:rPr>
          <w:rFonts w:ascii="Times New Roman" w:hAnsi="Times New Roman" w:cs="Times New Roman"/>
          <w:sz w:val="24"/>
          <w:szCs w:val="24"/>
        </w:rPr>
        <w:t xml:space="preserve">an </w:t>
      </w:r>
      <w:r>
        <w:rPr>
          <w:rFonts w:ascii="Times New Roman" w:hAnsi="Times New Roman" w:cs="Times New Roman"/>
          <w:sz w:val="24"/>
          <w:szCs w:val="24"/>
        </w:rPr>
        <w:t xml:space="preserve">overall statistically and clinically, male had a larger height </w:t>
      </w:r>
      <w:r w:rsidR="00653D85">
        <w:rPr>
          <w:rFonts w:ascii="Times New Roman" w:hAnsi="Times New Roman" w:cs="Times New Roman"/>
          <w:sz w:val="24"/>
          <w:szCs w:val="24"/>
        </w:rPr>
        <w:t xml:space="preserve">of both clinical crown height and lower facial height clinically and </w:t>
      </w:r>
      <w:proofErr w:type="spellStart"/>
      <w:r w:rsidR="00653D85">
        <w:rPr>
          <w:rFonts w:ascii="Times New Roman" w:hAnsi="Times New Roman" w:cs="Times New Roman"/>
          <w:sz w:val="24"/>
          <w:szCs w:val="24"/>
        </w:rPr>
        <w:t>cephalometric</w:t>
      </w:r>
      <w:proofErr w:type="spellEnd"/>
      <w:r w:rsidR="00653D85">
        <w:rPr>
          <w:rFonts w:ascii="Times New Roman" w:hAnsi="Times New Roman" w:cs="Times New Roman"/>
          <w:sz w:val="24"/>
          <w:szCs w:val="24"/>
        </w:rPr>
        <w:t xml:space="preserve"> in </w:t>
      </w:r>
      <w:proofErr w:type="spellStart"/>
      <w:r w:rsidR="00653D85">
        <w:rPr>
          <w:rFonts w:ascii="Times New Roman" w:hAnsi="Times New Roman" w:cs="Times New Roman"/>
          <w:sz w:val="24"/>
          <w:szCs w:val="24"/>
        </w:rPr>
        <w:t>hypodivergent</w:t>
      </w:r>
      <w:proofErr w:type="spellEnd"/>
      <w:r w:rsidR="00653D85">
        <w:rPr>
          <w:rFonts w:ascii="Times New Roman" w:hAnsi="Times New Roman" w:cs="Times New Roman"/>
          <w:sz w:val="24"/>
          <w:szCs w:val="24"/>
        </w:rPr>
        <w:t xml:space="preserve">, </w:t>
      </w:r>
      <w:proofErr w:type="spellStart"/>
      <w:r w:rsidR="00653D85">
        <w:rPr>
          <w:rFonts w:ascii="Times New Roman" w:hAnsi="Times New Roman" w:cs="Times New Roman"/>
          <w:sz w:val="24"/>
          <w:szCs w:val="24"/>
        </w:rPr>
        <w:t>normodivergent</w:t>
      </w:r>
      <w:proofErr w:type="spellEnd"/>
      <w:r w:rsidR="00653D85">
        <w:rPr>
          <w:rFonts w:ascii="Times New Roman" w:hAnsi="Times New Roman" w:cs="Times New Roman"/>
          <w:sz w:val="24"/>
          <w:szCs w:val="24"/>
        </w:rPr>
        <w:t xml:space="preserve"> and </w:t>
      </w:r>
      <w:proofErr w:type="spellStart"/>
      <w:r w:rsidR="00653D85">
        <w:rPr>
          <w:rFonts w:ascii="Times New Roman" w:hAnsi="Times New Roman" w:cs="Times New Roman"/>
          <w:sz w:val="24"/>
          <w:szCs w:val="24"/>
        </w:rPr>
        <w:t>hyperdivergent</w:t>
      </w:r>
      <w:proofErr w:type="spellEnd"/>
      <w:r w:rsidR="00653D85">
        <w:rPr>
          <w:rFonts w:ascii="Times New Roman" w:hAnsi="Times New Roman" w:cs="Times New Roman"/>
          <w:sz w:val="24"/>
          <w:szCs w:val="24"/>
        </w:rPr>
        <w:t xml:space="preserve"> patient except 41 in </w:t>
      </w:r>
      <w:proofErr w:type="spellStart"/>
      <w:r w:rsidR="00653D85">
        <w:rPr>
          <w:rFonts w:ascii="Times New Roman" w:hAnsi="Times New Roman" w:cs="Times New Roman"/>
          <w:sz w:val="24"/>
          <w:szCs w:val="24"/>
        </w:rPr>
        <w:t>hyperdivergent</w:t>
      </w:r>
      <w:proofErr w:type="spellEnd"/>
      <w:r w:rsidR="00653D85">
        <w:rPr>
          <w:rFonts w:ascii="Times New Roman" w:hAnsi="Times New Roman" w:cs="Times New Roman"/>
          <w:sz w:val="24"/>
          <w:szCs w:val="24"/>
        </w:rPr>
        <w:t xml:space="preserve"> and </w:t>
      </w:r>
      <w:proofErr w:type="spellStart"/>
      <w:r w:rsidR="00653D85">
        <w:rPr>
          <w:rFonts w:ascii="Times New Roman" w:hAnsi="Times New Roman" w:cs="Times New Roman"/>
          <w:sz w:val="24"/>
          <w:szCs w:val="24"/>
        </w:rPr>
        <w:t>normodivergent</w:t>
      </w:r>
      <w:proofErr w:type="spellEnd"/>
      <w:r w:rsidR="00653D85">
        <w:rPr>
          <w:rFonts w:ascii="Times New Roman" w:hAnsi="Times New Roman" w:cs="Times New Roman"/>
          <w:sz w:val="24"/>
          <w:szCs w:val="24"/>
        </w:rPr>
        <w:t>. Clinical crown height of 11</w:t>
      </w:r>
      <w:proofErr w:type="gramStart"/>
      <w:r w:rsidR="00653D85">
        <w:rPr>
          <w:rFonts w:ascii="Times New Roman" w:hAnsi="Times New Roman" w:cs="Times New Roman"/>
          <w:sz w:val="24"/>
          <w:szCs w:val="24"/>
        </w:rPr>
        <w:t>,41,46</w:t>
      </w:r>
      <w:proofErr w:type="gramEnd"/>
      <w:r w:rsidR="00653D85">
        <w:rPr>
          <w:rFonts w:ascii="Times New Roman" w:hAnsi="Times New Roman" w:cs="Times New Roman"/>
          <w:sz w:val="24"/>
          <w:szCs w:val="24"/>
        </w:rPr>
        <w:t xml:space="preserve"> had significant positive correlation with lower facial height in </w:t>
      </w:r>
      <w:proofErr w:type="spellStart"/>
      <w:r w:rsidR="00653D85">
        <w:rPr>
          <w:rFonts w:ascii="Times New Roman" w:hAnsi="Times New Roman" w:cs="Times New Roman"/>
          <w:sz w:val="24"/>
          <w:szCs w:val="24"/>
        </w:rPr>
        <w:t>hyperdivergent</w:t>
      </w:r>
      <w:proofErr w:type="spellEnd"/>
      <w:r w:rsidR="00653D85">
        <w:rPr>
          <w:rFonts w:ascii="Times New Roman" w:hAnsi="Times New Roman" w:cs="Times New Roman"/>
          <w:sz w:val="24"/>
          <w:szCs w:val="24"/>
        </w:rPr>
        <w:t xml:space="preserve"> patient. And 41 had significant positive correlation with lower facial height in </w:t>
      </w:r>
      <w:proofErr w:type="spellStart"/>
      <w:r w:rsidR="00653D85">
        <w:rPr>
          <w:rFonts w:ascii="Times New Roman" w:hAnsi="Times New Roman" w:cs="Times New Roman"/>
          <w:sz w:val="24"/>
          <w:szCs w:val="24"/>
        </w:rPr>
        <w:t>hypodivergent</w:t>
      </w:r>
      <w:proofErr w:type="spellEnd"/>
      <w:r w:rsidR="00653D85">
        <w:rPr>
          <w:rFonts w:ascii="Times New Roman" w:hAnsi="Times New Roman" w:cs="Times New Roman"/>
          <w:sz w:val="24"/>
          <w:szCs w:val="24"/>
        </w:rPr>
        <w:t xml:space="preserve"> patient. A further study has to be conducted to find out a correlation of </w:t>
      </w:r>
      <w:proofErr w:type="gramStart"/>
      <w:r w:rsidR="00653D85">
        <w:rPr>
          <w:rFonts w:ascii="Times New Roman" w:hAnsi="Times New Roman" w:cs="Times New Roman"/>
          <w:sz w:val="24"/>
          <w:szCs w:val="24"/>
        </w:rPr>
        <w:t>the  clinical</w:t>
      </w:r>
      <w:proofErr w:type="gramEnd"/>
      <w:r w:rsidR="00653D85">
        <w:rPr>
          <w:rFonts w:ascii="Times New Roman" w:hAnsi="Times New Roman" w:cs="Times New Roman"/>
          <w:sz w:val="24"/>
          <w:szCs w:val="24"/>
        </w:rPr>
        <w:t xml:space="preserve"> crown height and lower facial thirds. </w:t>
      </w:r>
    </w:p>
    <w:p w:rsidR="000B1EC8" w:rsidRPr="000B1EC8" w:rsidRDefault="000B1EC8" w:rsidP="000B1EC8">
      <w:pPr>
        <w:autoSpaceDE w:val="0"/>
        <w:autoSpaceDN w:val="0"/>
        <w:adjustRightInd w:val="0"/>
        <w:spacing w:after="0" w:line="240" w:lineRule="auto"/>
        <w:jc w:val="both"/>
        <w:rPr>
          <w:rFonts w:ascii="Times New Roman" w:hAnsi="Times New Roman" w:cs="Times New Roman"/>
          <w:b/>
          <w:bCs/>
          <w:color w:val="000000"/>
          <w:sz w:val="24"/>
          <w:szCs w:val="24"/>
        </w:rPr>
      </w:pPr>
    </w:p>
    <w:p w:rsidR="001676C5" w:rsidRPr="001676C5" w:rsidRDefault="001676C5" w:rsidP="001676C5">
      <w:pPr>
        <w:rPr>
          <w:rFonts w:ascii="Times New Roman" w:hAnsi="Times New Roman" w:cs="Times New Roman"/>
          <w:color w:val="000000" w:themeColor="text1"/>
          <w:sz w:val="24"/>
        </w:rPr>
      </w:pPr>
      <w:r w:rsidRPr="001676C5">
        <w:rPr>
          <w:rFonts w:ascii="Times New Roman" w:hAnsi="Times New Roman" w:cs="Times New Roman"/>
          <w:color w:val="000000" w:themeColor="text1"/>
          <w:sz w:val="24"/>
        </w:rPr>
        <w:t>REFERENCES</w:t>
      </w:r>
    </w:p>
    <w:p w:rsidR="001676C5" w:rsidRDefault="001676C5" w:rsidP="001676C5">
      <w:pPr>
        <w:pStyle w:val="ListParagraph"/>
        <w:numPr>
          <w:ilvl w:val="0"/>
          <w:numId w:val="4"/>
        </w:numPr>
        <w:autoSpaceDE w:val="0"/>
        <w:autoSpaceDN w:val="0"/>
        <w:adjustRightInd w:val="0"/>
        <w:spacing w:after="0" w:line="240" w:lineRule="auto"/>
        <w:jc w:val="both"/>
        <w:rPr>
          <w:rFonts w:ascii="Times New Roman" w:hAnsi="Times New Roman" w:cs="Times New Roman"/>
          <w:bCs/>
          <w:color w:val="000000" w:themeColor="text1"/>
          <w:sz w:val="24"/>
          <w:szCs w:val="24"/>
        </w:rPr>
      </w:pPr>
      <w:proofErr w:type="spellStart"/>
      <w:r>
        <w:rPr>
          <w:rFonts w:ascii="Times New Roman" w:hAnsi="Times New Roman" w:cs="Times New Roman"/>
          <w:bCs/>
          <w:color w:val="000000" w:themeColor="text1"/>
          <w:sz w:val="24"/>
          <w:szCs w:val="24"/>
        </w:rPr>
        <w:t>Zarana</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Purohit</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Santosh</w:t>
      </w:r>
      <w:proofErr w:type="spellEnd"/>
      <w:r>
        <w:rPr>
          <w:rFonts w:ascii="Times New Roman" w:hAnsi="Times New Roman" w:cs="Times New Roman"/>
          <w:bCs/>
          <w:color w:val="000000" w:themeColor="text1"/>
          <w:sz w:val="24"/>
          <w:szCs w:val="24"/>
        </w:rPr>
        <w:t xml:space="preserve"> Kumar </w:t>
      </w:r>
      <w:proofErr w:type="spellStart"/>
      <w:r>
        <w:rPr>
          <w:rFonts w:ascii="Times New Roman" w:hAnsi="Times New Roman" w:cs="Times New Roman"/>
          <w:bCs/>
          <w:color w:val="000000" w:themeColor="text1"/>
          <w:sz w:val="24"/>
          <w:szCs w:val="24"/>
        </w:rPr>
        <w:t>Goje</w:t>
      </w:r>
      <w:proofErr w:type="spellEnd"/>
      <w:r>
        <w:rPr>
          <w:rFonts w:ascii="Times New Roman" w:hAnsi="Times New Roman" w:cs="Times New Roman"/>
          <w:bCs/>
          <w:color w:val="000000" w:themeColor="text1"/>
          <w:sz w:val="24"/>
          <w:szCs w:val="24"/>
        </w:rPr>
        <w:t xml:space="preserve">, Narayan </w:t>
      </w:r>
      <w:proofErr w:type="spellStart"/>
      <w:r>
        <w:rPr>
          <w:rFonts w:ascii="Times New Roman" w:hAnsi="Times New Roman" w:cs="Times New Roman"/>
          <w:bCs/>
          <w:color w:val="000000" w:themeColor="text1"/>
          <w:sz w:val="24"/>
          <w:szCs w:val="24"/>
        </w:rPr>
        <w:t>Kulkarni</w:t>
      </w:r>
      <w:proofErr w:type="spellEnd"/>
      <w:r>
        <w:rPr>
          <w:rFonts w:ascii="Times New Roman" w:hAnsi="Times New Roman" w:cs="Times New Roman"/>
          <w:bCs/>
          <w:color w:val="000000" w:themeColor="text1"/>
          <w:sz w:val="24"/>
          <w:szCs w:val="24"/>
        </w:rPr>
        <w:t xml:space="preserve">, </w:t>
      </w:r>
      <w:proofErr w:type="spellStart"/>
      <w:r>
        <w:rPr>
          <w:rFonts w:ascii="Times New Roman" w:hAnsi="Times New Roman" w:cs="Times New Roman"/>
          <w:bCs/>
          <w:color w:val="000000" w:themeColor="text1"/>
          <w:sz w:val="24"/>
          <w:szCs w:val="24"/>
        </w:rPr>
        <w:t>Purvesh</w:t>
      </w:r>
      <w:proofErr w:type="spellEnd"/>
      <w:r>
        <w:rPr>
          <w:rFonts w:ascii="Times New Roman" w:hAnsi="Times New Roman" w:cs="Times New Roman"/>
          <w:bCs/>
          <w:color w:val="000000" w:themeColor="text1"/>
          <w:sz w:val="24"/>
          <w:szCs w:val="24"/>
        </w:rPr>
        <w:t xml:space="preserve"> Shah, </w:t>
      </w:r>
      <w:proofErr w:type="spellStart"/>
      <w:r>
        <w:rPr>
          <w:rFonts w:ascii="Times New Roman" w:hAnsi="Times New Roman" w:cs="Times New Roman"/>
          <w:bCs/>
          <w:color w:val="000000" w:themeColor="text1"/>
          <w:sz w:val="24"/>
          <w:szCs w:val="24"/>
        </w:rPr>
        <w:t>Kartik</w:t>
      </w:r>
      <w:proofErr w:type="spellEnd"/>
      <w:r>
        <w:rPr>
          <w:rFonts w:ascii="Times New Roman" w:hAnsi="Times New Roman" w:cs="Times New Roman"/>
          <w:bCs/>
          <w:color w:val="000000" w:themeColor="text1"/>
          <w:sz w:val="24"/>
          <w:szCs w:val="24"/>
        </w:rPr>
        <w:t xml:space="preserve"> Patel</w:t>
      </w:r>
      <w:proofErr w:type="gramStart"/>
      <w:r>
        <w:rPr>
          <w:rFonts w:ascii="Times New Roman" w:hAnsi="Times New Roman" w:cs="Times New Roman"/>
          <w:bCs/>
          <w:i/>
          <w:iCs/>
          <w:color w:val="000000" w:themeColor="text1"/>
          <w:sz w:val="24"/>
          <w:szCs w:val="24"/>
        </w:rPr>
        <w:t xml:space="preserve">,  </w:t>
      </w:r>
      <w:proofErr w:type="spellStart"/>
      <w:r>
        <w:rPr>
          <w:rFonts w:ascii="Times New Roman" w:hAnsi="Times New Roman" w:cs="Times New Roman"/>
          <w:bCs/>
          <w:color w:val="000000" w:themeColor="text1"/>
          <w:sz w:val="24"/>
          <w:szCs w:val="24"/>
        </w:rPr>
        <w:t>Nilixa</w:t>
      </w:r>
      <w:proofErr w:type="spellEnd"/>
      <w:proofErr w:type="gramEnd"/>
      <w:r>
        <w:rPr>
          <w:rFonts w:ascii="Times New Roman" w:hAnsi="Times New Roman" w:cs="Times New Roman"/>
          <w:bCs/>
          <w:color w:val="000000" w:themeColor="text1"/>
          <w:sz w:val="24"/>
          <w:szCs w:val="24"/>
        </w:rPr>
        <w:t xml:space="preserve"> Dave. Is clinical crown height a marker of lower anterior facial height??? Journal of Dentistry and Oral Biosciences Vol. 2012; 3(2):13-18</w:t>
      </w:r>
    </w:p>
    <w:p w:rsidR="001676C5" w:rsidRDefault="001676C5" w:rsidP="001676C5">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Abdel-Kader HM. Clinical crown length and reduction in </w:t>
      </w:r>
      <w:proofErr w:type="spellStart"/>
      <w:r>
        <w:rPr>
          <w:rFonts w:ascii="Times New Roman" w:hAnsi="Times New Roman" w:cs="Times New Roman"/>
          <w:color w:val="000000" w:themeColor="text1"/>
          <w:sz w:val="24"/>
          <w:szCs w:val="24"/>
        </w:rPr>
        <w:t>overjet</w:t>
      </w:r>
      <w:proofErr w:type="spellEnd"/>
      <w:r>
        <w:rPr>
          <w:rFonts w:ascii="Times New Roman" w:hAnsi="Times New Roman" w:cs="Times New Roman"/>
          <w:color w:val="000000" w:themeColor="text1"/>
          <w:sz w:val="24"/>
          <w:szCs w:val="24"/>
        </w:rPr>
        <w:t xml:space="preserve">, overbite, and dental height with orthodontic treatment. Am. J. </w:t>
      </w:r>
      <w:proofErr w:type="spellStart"/>
      <w:r>
        <w:rPr>
          <w:rFonts w:ascii="Times New Roman" w:hAnsi="Times New Roman" w:cs="Times New Roman"/>
          <w:color w:val="000000" w:themeColor="text1"/>
          <w:sz w:val="24"/>
          <w:szCs w:val="24"/>
        </w:rPr>
        <w:t>Orthod</w:t>
      </w:r>
      <w:proofErr w:type="spellEnd"/>
      <w:r>
        <w:rPr>
          <w:rFonts w:ascii="Times New Roman" w:hAnsi="Times New Roman" w:cs="Times New Roman"/>
          <w:color w:val="000000" w:themeColor="text1"/>
          <w:sz w:val="24"/>
          <w:szCs w:val="24"/>
        </w:rPr>
        <w:t>. 1986 Mar; 89 (3):246-50.</w:t>
      </w:r>
    </w:p>
    <w:p w:rsidR="001676C5" w:rsidRDefault="001676C5" w:rsidP="001676C5">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Hussain</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Obaidi</w:t>
      </w:r>
      <w:proofErr w:type="spellEnd"/>
      <w:r>
        <w:rPr>
          <w:rFonts w:ascii="Times New Roman" w:hAnsi="Times New Roman" w:cs="Times New Roman"/>
          <w:color w:val="000000" w:themeColor="text1"/>
          <w:sz w:val="24"/>
          <w:szCs w:val="24"/>
        </w:rPr>
        <w:t xml:space="preserve">. Variation of facial heights among the Class I, II and III </w:t>
      </w:r>
      <w:proofErr w:type="spellStart"/>
      <w:r>
        <w:rPr>
          <w:rFonts w:ascii="Times New Roman" w:hAnsi="Times New Roman" w:cs="Times New Roman"/>
          <w:color w:val="000000" w:themeColor="text1"/>
          <w:sz w:val="24"/>
          <w:szCs w:val="24"/>
        </w:rPr>
        <w:t>dentoskeletal</w:t>
      </w:r>
      <w:proofErr w:type="spellEnd"/>
      <w:r>
        <w:rPr>
          <w:rFonts w:ascii="Times New Roman" w:hAnsi="Times New Roman" w:cs="Times New Roman"/>
          <w:color w:val="000000" w:themeColor="text1"/>
          <w:sz w:val="24"/>
          <w:szCs w:val="24"/>
        </w:rPr>
        <w:t xml:space="preserve"> relationships </w:t>
      </w:r>
      <w:proofErr w:type="gramStart"/>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Cephalometric</w:t>
      </w:r>
      <w:proofErr w:type="spellEnd"/>
      <w:proofErr w:type="gramEnd"/>
      <w:r>
        <w:rPr>
          <w:rFonts w:ascii="Times New Roman" w:hAnsi="Times New Roman" w:cs="Times New Roman"/>
          <w:color w:val="000000" w:themeColor="text1"/>
          <w:sz w:val="24"/>
          <w:szCs w:val="24"/>
        </w:rPr>
        <w:t xml:space="preserve"> study). Al-</w:t>
      </w:r>
      <w:proofErr w:type="spellStart"/>
      <w:r>
        <w:rPr>
          <w:rFonts w:ascii="Times New Roman" w:hAnsi="Times New Roman" w:cs="Times New Roman"/>
          <w:color w:val="000000" w:themeColor="text1"/>
          <w:sz w:val="24"/>
          <w:szCs w:val="24"/>
        </w:rPr>
        <w:t>Rafidain</w:t>
      </w:r>
      <w:proofErr w:type="spellEnd"/>
      <w:r>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Dent J</w:t>
      </w:r>
      <w:r>
        <w:rPr>
          <w:rFonts w:ascii="Times New Roman" w:hAnsi="Times New Roman" w:cs="Times New Roman"/>
          <w:color w:val="000000" w:themeColor="text1"/>
          <w:sz w:val="24"/>
          <w:szCs w:val="24"/>
        </w:rPr>
        <w:t>. 2006; 6(2): 98-105.</w:t>
      </w:r>
    </w:p>
    <w:p w:rsidR="00CB007E" w:rsidRDefault="00CB007E" w:rsidP="00CB007E">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Alka</w:t>
      </w:r>
      <w:proofErr w:type="spellEnd"/>
      <w:r>
        <w:rPr>
          <w:rFonts w:ascii="Times New Roman" w:hAnsi="Times New Roman" w:cs="Times New Roman"/>
          <w:color w:val="000000" w:themeColor="text1"/>
          <w:sz w:val="24"/>
          <w:szCs w:val="24"/>
        </w:rPr>
        <w:t xml:space="preserve"> Singh, Vijay P. Sharma, </w:t>
      </w:r>
      <w:proofErr w:type="spellStart"/>
      <w:proofErr w:type="gramStart"/>
      <w:r>
        <w:rPr>
          <w:rFonts w:ascii="Times New Roman" w:hAnsi="Times New Roman" w:cs="Times New Roman"/>
          <w:color w:val="000000" w:themeColor="text1"/>
          <w:sz w:val="24"/>
          <w:szCs w:val="24"/>
        </w:rPr>
        <w:t>Pradeep</w:t>
      </w:r>
      <w:proofErr w:type="spellEnd"/>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Tandon</w:t>
      </w:r>
      <w:proofErr w:type="spellEnd"/>
      <w:r>
        <w:rPr>
          <w:rFonts w:ascii="Times New Roman" w:hAnsi="Times New Roman" w:cs="Times New Roman"/>
          <w:color w:val="000000" w:themeColor="text1"/>
          <w:sz w:val="24"/>
          <w:szCs w:val="24"/>
        </w:rPr>
        <w:t xml:space="preserve"> A </w:t>
      </w:r>
      <w:proofErr w:type="spellStart"/>
      <w:r>
        <w:rPr>
          <w:rFonts w:ascii="Times New Roman" w:hAnsi="Times New Roman" w:cs="Times New Roman"/>
          <w:color w:val="000000" w:themeColor="text1"/>
          <w:sz w:val="24"/>
          <w:szCs w:val="24"/>
        </w:rPr>
        <w:t>Cephalometric</w:t>
      </w:r>
      <w:proofErr w:type="spellEnd"/>
      <w:r>
        <w:rPr>
          <w:rFonts w:ascii="Times New Roman" w:hAnsi="Times New Roman" w:cs="Times New Roman"/>
          <w:color w:val="000000" w:themeColor="text1"/>
          <w:sz w:val="24"/>
          <w:szCs w:val="24"/>
        </w:rPr>
        <w:t xml:space="preserve"> Evaluation of Lower Face Height and Its Relationship with </w:t>
      </w:r>
      <w:proofErr w:type="spellStart"/>
      <w:r>
        <w:rPr>
          <w:rFonts w:ascii="Times New Roman" w:hAnsi="Times New Roman" w:cs="Times New Roman"/>
          <w:color w:val="000000" w:themeColor="text1"/>
          <w:sz w:val="24"/>
          <w:szCs w:val="24"/>
        </w:rPr>
        <w:t>Dentoalveolar</w:t>
      </w:r>
      <w:proofErr w:type="spellEnd"/>
      <w:r>
        <w:rPr>
          <w:rFonts w:ascii="Times New Roman" w:hAnsi="Times New Roman" w:cs="Times New Roman"/>
          <w:color w:val="000000" w:themeColor="text1"/>
          <w:sz w:val="24"/>
          <w:szCs w:val="24"/>
        </w:rPr>
        <w:t xml:space="preserve"> Vertical Dimensions. J </w:t>
      </w:r>
      <w:proofErr w:type="spellStart"/>
      <w:r>
        <w:rPr>
          <w:rFonts w:ascii="Times New Roman" w:hAnsi="Times New Roman" w:cs="Times New Roman"/>
          <w:color w:val="000000" w:themeColor="text1"/>
          <w:sz w:val="24"/>
          <w:szCs w:val="24"/>
        </w:rPr>
        <w:t>Ind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Orthod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Soc</w:t>
      </w:r>
      <w:proofErr w:type="spellEnd"/>
      <w:r>
        <w:rPr>
          <w:rFonts w:ascii="Times New Roman" w:hAnsi="Times New Roman" w:cs="Times New Roman"/>
          <w:color w:val="000000" w:themeColor="text1"/>
          <w:sz w:val="24"/>
          <w:szCs w:val="24"/>
        </w:rPr>
        <w:t xml:space="preserve"> 2006; 39; 204-212</w:t>
      </w:r>
    </w:p>
    <w:p w:rsidR="001676C5" w:rsidRDefault="001676C5" w:rsidP="001676C5">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Canonn</w:t>
      </w:r>
      <w:proofErr w:type="spellEnd"/>
      <w:r>
        <w:rPr>
          <w:rFonts w:ascii="Times New Roman" w:hAnsi="Times New Roman" w:cs="Times New Roman"/>
          <w:color w:val="000000" w:themeColor="text1"/>
          <w:sz w:val="24"/>
          <w:szCs w:val="24"/>
        </w:rPr>
        <w:t xml:space="preserve"> J. Craniofacial height and depth increments in normal children. </w:t>
      </w:r>
      <w:r>
        <w:rPr>
          <w:rFonts w:ascii="Times New Roman" w:hAnsi="Times New Roman" w:cs="Times New Roman"/>
          <w:i/>
          <w:iCs/>
          <w:color w:val="000000" w:themeColor="text1"/>
          <w:sz w:val="24"/>
          <w:szCs w:val="24"/>
        </w:rPr>
        <w:t xml:space="preserve">Angle </w:t>
      </w:r>
      <w:proofErr w:type="spellStart"/>
      <w:r>
        <w:rPr>
          <w:rFonts w:ascii="Times New Roman" w:hAnsi="Times New Roman" w:cs="Times New Roman"/>
          <w:i/>
          <w:iCs/>
          <w:color w:val="000000" w:themeColor="text1"/>
          <w:sz w:val="24"/>
          <w:szCs w:val="24"/>
        </w:rPr>
        <w:t>Orthod</w:t>
      </w:r>
      <w:proofErr w:type="spellEnd"/>
      <w:r>
        <w:rPr>
          <w:rFonts w:ascii="Times New Roman" w:hAnsi="Times New Roman" w:cs="Times New Roman"/>
          <w:color w:val="000000" w:themeColor="text1"/>
          <w:sz w:val="24"/>
          <w:szCs w:val="24"/>
        </w:rPr>
        <w:t xml:space="preserve">. 1970; 40: 202-218 </w:t>
      </w:r>
    </w:p>
    <w:p w:rsidR="001676C5" w:rsidRDefault="001676C5" w:rsidP="001676C5">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AM </w:t>
      </w:r>
      <w:proofErr w:type="spellStart"/>
      <w:r>
        <w:rPr>
          <w:rFonts w:ascii="Times New Roman" w:hAnsi="Times New Roman" w:cs="Times New Roman"/>
          <w:color w:val="000000" w:themeColor="text1"/>
          <w:sz w:val="24"/>
          <w:szCs w:val="24"/>
        </w:rPr>
        <w:t>Deoghare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Pankaj</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Akhare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Rohit</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Patil</w:t>
      </w:r>
      <w:proofErr w:type="spellEnd"/>
      <w:r>
        <w:rPr>
          <w:rFonts w:ascii="Times New Roman" w:hAnsi="Times New Roman" w:cs="Times New Roman"/>
          <w:color w:val="000000" w:themeColor="text1"/>
          <w:sz w:val="24"/>
          <w:szCs w:val="24"/>
        </w:rPr>
        <w:t xml:space="preserve">, </w:t>
      </w:r>
      <w:proofErr w:type="spellStart"/>
      <w:proofErr w:type="gramStart"/>
      <w:r>
        <w:rPr>
          <w:rFonts w:ascii="Times New Roman" w:hAnsi="Times New Roman" w:cs="Times New Roman"/>
          <w:color w:val="000000" w:themeColor="text1"/>
          <w:sz w:val="24"/>
          <w:szCs w:val="24"/>
        </w:rPr>
        <w:t>Amanish</w:t>
      </w:r>
      <w:proofErr w:type="spellEnd"/>
      <w:proofErr w:type="gramEnd"/>
      <w:r>
        <w:rPr>
          <w:rFonts w:ascii="Times New Roman" w:hAnsi="Times New Roman" w:cs="Times New Roman"/>
          <w:color w:val="000000" w:themeColor="text1"/>
          <w:sz w:val="24"/>
          <w:szCs w:val="24"/>
        </w:rPr>
        <w:t xml:space="preserve"> Singh </w:t>
      </w:r>
      <w:proofErr w:type="spellStart"/>
      <w:r>
        <w:rPr>
          <w:rFonts w:ascii="Times New Roman" w:hAnsi="Times New Roman" w:cs="Times New Roman"/>
          <w:color w:val="000000" w:themeColor="text1"/>
          <w:sz w:val="24"/>
          <w:szCs w:val="24"/>
        </w:rPr>
        <w:t>Shinh</w:t>
      </w:r>
      <w:proofErr w:type="spellEnd"/>
      <w:r>
        <w:rPr>
          <w:rFonts w:ascii="Times New Roman" w:hAnsi="Times New Roman" w:cs="Times New Roman"/>
          <w:color w:val="000000" w:themeColor="text1"/>
          <w:sz w:val="24"/>
          <w:szCs w:val="24"/>
        </w:rPr>
        <w:t xml:space="preserve">. Comparison of Incisor Molar and Anterior Facial Height in Normal Angle Class II Division 1 and Class III Malocclusion: A </w:t>
      </w:r>
      <w:proofErr w:type="spellStart"/>
      <w:r>
        <w:rPr>
          <w:rFonts w:ascii="Times New Roman" w:hAnsi="Times New Roman" w:cs="Times New Roman"/>
          <w:color w:val="000000" w:themeColor="text1"/>
          <w:sz w:val="24"/>
          <w:szCs w:val="24"/>
        </w:rPr>
        <w:t>Cephalometric</w:t>
      </w:r>
      <w:proofErr w:type="spellEnd"/>
      <w:r>
        <w:rPr>
          <w:rFonts w:ascii="Times New Roman" w:hAnsi="Times New Roman" w:cs="Times New Roman"/>
          <w:color w:val="000000" w:themeColor="text1"/>
          <w:sz w:val="24"/>
          <w:szCs w:val="24"/>
        </w:rPr>
        <w:t xml:space="preserve"> Study. J </w:t>
      </w:r>
      <w:proofErr w:type="spellStart"/>
      <w:r>
        <w:rPr>
          <w:rFonts w:ascii="Times New Roman" w:hAnsi="Times New Roman" w:cs="Times New Roman"/>
          <w:color w:val="000000" w:themeColor="text1"/>
          <w:sz w:val="24"/>
          <w:szCs w:val="24"/>
        </w:rPr>
        <w:t>Ind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Orthod</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Soc</w:t>
      </w:r>
      <w:proofErr w:type="spellEnd"/>
      <w:r>
        <w:rPr>
          <w:rFonts w:ascii="Times New Roman" w:hAnsi="Times New Roman" w:cs="Times New Roman"/>
          <w:color w:val="000000" w:themeColor="text1"/>
          <w:sz w:val="24"/>
          <w:szCs w:val="24"/>
        </w:rPr>
        <w:t xml:space="preserve"> 2012;46(4):304-307</w:t>
      </w:r>
    </w:p>
    <w:p w:rsidR="00CB007E" w:rsidRDefault="00CB007E" w:rsidP="00CB007E">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Issacson</w:t>
      </w:r>
      <w:proofErr w:type="spellEnd"/>
      <w:r>
        <w:rPr>
          <w:rFonts w:ascii="Times New Roman" w:hAnsi="Times New Roman" w:cs="Times New Roman"/>
          <w:color w:val="000000" w:themeColor="text1"/>
          <w:sz w:val="24"/>
          <w:szCs w:val="24"/>
        </w:rPr>
        <w:t xml:space="preserve"> JR et al. Extreme variation in vertical facial growth and associated variation in skeletal and dental relations. Angle </w:t>
      </w:r>
      <w:proofErr w:type="spellStart"/>
      <w:r>
        <w:rPr>
          <w:rFonts w:ascii="Times New Roman" w:hAnsi="Times New Roman" w:cs="Times New Roman"/>
          <w:color w:val="000000" w:themeColor="text1"/>
          <w:sz w:val="24"/>
          <w:szCs w:val="24"/>
        </w:rPr>
        <w:t>Orthod</w:t>
      </w:r>
      <w:proofErr w:type="spellEnd"/>
      <w:r>
        <w:rPr>
          <w:rFonts w:ascii="Times New Roman" w:hAnsi="Times New Roman" w:cs="Times New Roman"/>
          <w:color w:val="000000" w:themeColor="text1"/>
          <w:sz w:val="24"/>
          <w:szCs w:val="24"/>
        </w:rPr>
        <w:t xml:space="preserve"> Vol. 1971; 41(3): 219-29</w:t>
      </w:r>
    </w:p>
    <w:p w:rsidR="00CB007E" w:rsidRDefault="00CB007E" w:rsidP="00CB007E">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lastRenderedPageBreak/>
        <w:t>Schudy</w:t>
      </w:r>
      <w:proofErr w:type="spellEnd"/>
      <w:r>
        <w:rPr>
          <w:rFonts w:ascii="Times New Roman" w:hAnsi="Times New Roman" w:cs="Times New Roman"/>
          <w:color w:val="000000" w:themeColor="text1"/>
          <w:sz w:val="24"/>
          <w:szCs w:val="24"/>
        </w:rPr>
        <w:t xml:space="preserve"> FF. The control of vertical overbite in clinical orthodontics. Angle Orthodontics 1968; Vol. 38(1): 19-39</w:t>
      </w:r>
    </w:p>
    <w:p w:rsidR="00CB007E" w:rsidRDefault="00CB007E" w:rsidP="001676C5">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Solow B. The </w:t>
      </w:r>
      <w:proofErr w:type="spellStart"/>
      <w:r>
        <w:rPr>
          <w:rFonts w:ascii="Times New Roman" w:hAnsi="Times New Roman" w:cs="Times New Roman"/>
          <w:color w:val="000000" w:themeColor="text1"/>
          <w:sz w:val="24"/>
          <w:szCs w:val="24"/>
        </w:rPr>
        <w:t>dentoalveolar</w:t>
      </w:r>
      <w:proofErr w:type="spellEnd"/>
      <w:r>
        <w:rPr>
          <w:rFonts w:ascii="Times New Roman" w:hAnsi="Times New Roman" w:cs="Times New Roman"/>
          <w:color w:val="000000" w:themeColor="text1"/>
          <w:sz w:val="24"/>
          <w:szCs w:val="24"/>
        </w:rPr>
        <w:t xml:space="preserve"> compensatory </w:t>
      </w:r>
      <w:proofErr w:type="spellStart"/>
      <w:r>
        <w:rPr>
          <w:rFonts w:ascii="Times New Roman" w:hAnsi="Times New Roman" w:cs="Times New Roman"/>
          <w:color w:val="000000" w:themeColor="text1"/>
          <w:sz w:val="24"/>
          <w:szCs w:val="24"/>
        </w:rPr>
        <w:t>mechanism</w:t>
      </w:r>
      <w:proofErr w:type="gramStart"/>
      <w:r>
        <w:rPr>
          <w:rFonts w:ascii="Times New Roman" w:hAnsi="Times New Roman" w:cs="Times New Roman"/>
          <w:color w:val="000000" w:themeColor="text1"/>
          <w:sz w:val="24"/>
          <w:szCs w:val="24"/>
        </w:rPr>
        <w:t>:background</w:t>
      </w:r>
      <w:proofErr w:type="spellEnd"/>
      <w:proofErr w:type="gramEnd"/>
      <w:r>
        <w:rPr>
          <w:rFonts w:ascii="Times New Roman" w:hAnsi="Times New Roman" w:cs="Times New Roman"/>
          <w:color w:val="000000" w:themeColor="text1"/>
          <w:sz w:val="24"/>
          <w:szCs w:val="24"/>
        </w:rPr>
        <w:t xml:space="preserve"> and clinical implications. Br J </w:t>
      </w:r>
      <w:proofErr w:type="spellStart"/>
      <w:r>
        <w:rPr>
          <w:rFonts w:ascii="Times New Roman" w:hAnsi="Times New Roman" w:cs="Times New Roman"/>
          <w:color w:val="000000" w:themeColor="text1"/>
          <w:sz w:val="24"/>
          <w:szCs w:val="24"/>
        </w:rPr>
        <w:t>Orthod</w:t>
      </w:r>
      <w:proofErr w:type="spellEnd"/>
      <w:r>
        <w:rPr>
          <w:rFonts w:ascii="Times New Roman" w:hAnsi="Times New Roman" w:cs="Times New Roman"/>
          <w:color w:val="000000" w:themeColor="text1"/>
          <w:sz w:val="24"/>
          <w:szCs w:val="24"/>
        </w:rPr>
        <w:t xml:space="preserve"> 1980; 7: 145-161</w:t>
      </w:r>
    </w:p>
    <w:p w:rsidR="001676C5" w:rsidRPr="00CB007E" w:rsidRDefault="001676C5" w:rsidP="00CB007E">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w:t>
      </w:r>
      <w:proofErr w:type="spellStart"/>
      <w:r>
        <w:rPr>
          <w:rFonts w:ascii="Times New Roman" w:hAnsi="Times New Roman" w:cs="Times New Roman"/>
          <w:color w:val="000000" w:themeColor="text1"/>
          <w:sz w:val="24"/>
          <w:szCs w:val="24"/>
        </w:rPr>
        <w:t>Zubaidi</w:t>
      </w:r>
      <w:proofErr w:type="spellEnd"/>
      <w:r>
        <w:rPr>
          <w:rFonts w:ascii="Times New Roman" w:hAnsi="Times New Roman" w:cs="Times New Roman"/>
          <w:color w:val="000000" w:themeColor="text1"/>
          <w:sz w:val="24"/>
          <w:szCs w:val="24"/>
        </w:rPr>
        <w:t xml:space="preserve"> SA, </w:t>
      </w:r>
      <w:proofErr w:type="spellStart"/>
      <w:r>
        <w:rPr>
          <w:rFonts w:ascii="Times New Roman" w:hAnsi="Times New Roman" w:cs="Times New Roman"/>
          <w:color w:val="000000" w:themeColor="text1"/>
          <w:sz w:val="24"/>
          <w:szCs w:val="24"/>
        </w:rPr>
        <w:t>Obaidi</w:t>
      </w:r>
      <w:proofErr w:type="spellEnd"/>
      <w:r>
        <w:rPr>
          <w:rFonts w:ascii="Times New Roman" w:hAnsi="Times New Roman" w:cs="Times New Roman"/>
          <w:color w:val="000000" w:themeColor="text1"/>
          <w:sz w:val="24"/>
          <w:szCs w:val="24"/>
        </w:rPr>
        <w:t xml:space="preserve"> HA. The variation of the lower anterior facial height and its component parameters among the three over bite relationships (</w:t>
      </w:r>
      <w:proofErr w:type="spellStart"/>
      <w:r>
        <w:rPr>
          <w:rFonts w:ascii="Times New Roman" w:hAnsi="Times New Roman" w:cs="Times New Roman"/>
          <w:color w:val="000000" w:themeColor="text1"/>
          <w:sz w:val="24"/>
          <w:szCs w:val="24"/>
        </w:rPr>
        <w:t>Cephalometric</w:t>
      </w:r>
      <w:proofErr w:type="spellEnd"/>
      <w:r>
        <w:rPr>
          <w:rFonts w:ascii="Times New Roman" w:hAnsi="Times New Roman" w:cs="Times New Roman"/>
          <w:color w:val="000000" w:themeColor="text1"/>
          <w:sz w:val="24"/>
          <w:szCs w:val="24"/>
        </w:rPr>
        <w:t xml:space="preserve"> study). </w:t>
      </w:r>
      <w:r>
        <w:rPr>
          <w:rFonts w:ascii="Times New Roman" w:hAnsi="Times New Roman" w:cs="Times New Roman"/>
          <w:i/>
          <w:iCs/>
          <w:color w:val="000000" w:themeColor="text1"/>
          <w:sz w:val="24"/>
          <w:szCs w:val="24"/>
        </w:rPr>
        <w:t>Al–</w:t>
      </w:r>
      <w:proofErr w:type="spellStart"/>
      <w:r>
        <w:rPr>
          <w:rFonts w:ascii="Times New Roman" w:hAnsi="Times New Roman" w:cs="Times New Roman"/>
          <w:i/>
          <w:iCs/>
          <w:color w:val="000000" w:themeColor="text1"/>
          <w:sz w:val="24"/>
          <w:szCs w:val="24"/>
        </w:rPr>
        <w:t>Rafidain</w:t>
      </w:r>
      <w:proofErr w:type="spellEnd"/>
      <w:r>
        <w:rPr>
          <w:rFonts w:ascii="Times New Roman" w:hAnsi="Times New Roman" w:cs="Times New Roman"/>
          <w:i/>
          <w:iCs/>
          <w:color w:val="000000" w:themeColor="text1"/>
          <w:sz w:val="24"/>
          <w:szCs w:val="24"/>
        </w:rPr>
        <w:t xml:space="preserve"> Dent J</w:t>
      </w:r>
      <w:r>
        <w:rPr>
          <w:rFonts w:ascii="Times New Roman" w:hAnsi="Times New Roman" w:cs="Times New Roman"/>
          <w:color w:val="000000" w:themeColor="text1"/>
          <w:sz w:val="24"/>
          <w:szCs w:val="24"/>
        </w:rPr>
        <w:t>. 2006; 6(2): 106-113</w:t>
      </w:r>
    </w:p>
    <w:p w:rsidR="001676C5" w:rsidRDefault="001676C5" w:rsidP="001676C5">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Profit. </w:t>
      </w:r>
      <w:proofErr w:type="spellStart"/>
      <w:r>
        <w:rPr>
          <w:rFonts w:ascii="Times New Roman" w:hAnsi="Times New Roman" w:cs="Times New Roman"/>
          <w:color w:val="000000" w:themeColor="text1"/>
          <w:sz w:val="24"/>
          <w:szCs w:val="24"/>
        </w:rPr>
        <w:t>Wr</w:t>
      </w:r>
      <w:proofErr w:type="spellEnd"/>
      <w:r>
        <w:rPr>
          <w:rFonts w:ascii="Times New Roman" w:hAnsi="Times New Roman" w:cs="Times New Roman"/>
          <w:color w:val="000000" w:themeColor="text1"/>
          <w:sz w:val="24"/>
          <w:szCs w:val="24"/>
        </w:rPr>
        <w:t xml:space="preserve">. Orthodontia </w:t>
      </w:r>
      <w:proofErr w:type="spellStart"/>
      <w:r>
        <w:rPr>
          <w:rFonts w:ascii="Times New Roman" w:hAnsi="Times New Roman" w:cs="Times New Roman"/>
          <w:color w:val="000000" w:themeColor="text1"/>
          <w:sz w:val="24"/>
          <w:szCs w:val="24"/>
        </w:rPr>
        <w:t>Contemporanea</w:t>
      </w:r>
      <w:proofErr w:type="spellEnd"/>
      <w:r>
        <w:rPr>
          <w:rFonts w:ascii="Times New Roman" w:hAnsi="Times New Roman" w:cs="Times New Roman"/>
          <w:color w:val="000000" w:themeColor="text1"/>
          <w:sz w:val="24"/>
          <w:szCs w:val="24"/>
        </w:rPr>
        <w:t xml:space="preserve"> 2</w:t>
      </w:r>
      <w:r>
        <w:rPr>
          <w:rFonts w:ascii="Times New Roman" w:hAnsi="Times New Roman" w:cs="Times New Roman"/>
          <w:color w:val="000000" w:themeColor="text1"/>
          <w:sz w:val="24"/>
          <w:szCs w:val="24"/>
          <w:vertAlign w:val="superscript"/>
        </w:rPr>
        <w:t>nd</w:t>
      </w:r>
      <w:r>
        <w:rPr>
          <w:rFonts w:ascii="Times New Roman" w:hAnsi="Times New Roman" w:cs="Times New Roman"/>
          <w:color w:val="000000" w:themeColor="text1"/>
          <w:sz w:val="24"/>
          <w:szCs w:val="24"/>
        </w:rPr>
        <w:t xml:space="preserve"> ed. Rio-de Janeiro. Guanabara </w:t>
      </w:r>
      <w:proofErr w:type="spellStart"/>
      <w:r>
        <w:rPr>
          <w:rFonts w:ascii="Times New Roman" w:hAnsi="Times New Roman" w:cs="Times New Roman"/>
          <w:color w:val="000000" w:themeColor="text1"/>
          <w:sz w:val="24"/>
          <w:szCs w:val="24"/>
        </w:rPr>
        <w:t>Koogan</w:t>
      </w:r>
      <w:proofErr w:type="spellEnd"/>
      <w:r>
        <w:rPr>
          <w:rFonts w:ascii="Times New Roman" w:hAnsi="Times New Roman" w:cs="Times New Roman"/>
          <w:color w:val="000000" w:themeColor="text1"/>
          <w:sz w:val="24"/>
          <w:szCs w:val="24"/>
        </w:rPr>
        <w:t xml:space="preserve"> 1995</w:t>
      </w:r>
    </w:p>
    <w:p w:rsidR="0015206D" w:rsidRDefault="001676C5" w:rsidP="0015206D">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Márcia</w:t>
      </w:r>
      <w:proofErr w:type="spellEnd"/>
      <w:r>
        <w:rPr>
          <w:rFonts w:ascii="Times New Roman" w:hAnsi="Times New Roman" w:cs="Times New Roman"/>
          <w:color w:val="000000" w:themeColor="text1"/>
          <w:sz w:val="24"/>
          <w:szCs w:val="24"/>
        </w:rPr>
        <w:t xml:space="preserve"> Cristina Cunha Costa, Marcelo de </w:t>
      </w:r>
      <w:proofErr w:type="spellStart"/>
      <w:r>
        <w:rPr>
          <w:rFonts w:ascii="Times New Roman" w:hAnsi="Times New Roman" w:cs="Times New Roman"/>
          <w:color w:val="000000" w:themeColor="text1"/>
          <w:sz w:val="24"/>
          <w:szCs w:val="24"/>
        </w:rPr>
        <w:t>Castellucci</w:t>
      </w:r>
      <w:proofErr w:type="spellEnd"/>
      <w:r>
        <w:rPr>
          <w:rFonts w:ascii="Times New Roman" w:hAnsi="Times New Roman" w:cs="Times New Roman"/>
          <w:color w:val="000000" w:themeColor="text1"/>
          <w:sz w:val="24"/>
          <w:szCs w:val="24"/>
        </w:rPr>
        <w:t xml:space="preserve"> e Barbosa, Marcos Alan Vieira </w:t>
      </w:r>
      <w:proofErr w:type="spellStart"/>
      <w:r>
        <w:rPr>
          <w:rFonts w:ascii="Times New Roman" w:hAnsi="Times New Roman" w:cs="Times New Roman"/>
          <w:color w:val="000000" w:themeColor="text1"/>
          <w:sz w:val="24"/>
          <w:szCs w:val="24"/>
        </w:rPr>
        <w:t>Bittencourt</w:t>
      </w:r>
      <w:proofErr w:type="spellEnd"/>
      <w:r>
        <w:rPr>
          <w:rFonts w:ascii="Times New Roman" w:hAnsi="Times New Roman" w:cs="Times New Roman"/>
          <w:color w:val="000000" w:themeColor="text1"/>
          <w:sz w:val="24"/>
          <w:szCs w:val="24"/>
        </w:rPr>
        <w:t xml:space="preserve">. Evaluation of facial proportions in the vertical plane to investigate the relationship between skeletal and soft tissue dimensions. Dental Press J </w:t>
      </w:r>
      <w:proofErr w:type="spellStart"/>
      <w:r>
        <w:rPr>
          <w:rFonts w:ascii="Times New Roman" w:hAnsi="Times New Roman" w:cs="Times New Roman"/>
          <w:color w:val="000000" w:themeColor="text1"/>
          <w:sz w:val="24"/>
          <w:szCs w:val="24"/>
        </w:rPr>
        <w:t>Orthod</w:t>
      </w:r>
      <w:proofErr w:type="spellEnd"/>
      <w:r>
        <w:rPr>
          <w:rFonts w:ascii="Times New Roman" w:hAnsi="Times New Roman" w:cs="Times New Roman"/>
          <w:color w:val="000000" w:themeColor="text1"/>
          <w:sz w:val="24"/>
          <w:szCs w:val="24"/>
        </w:rPr>
        <w:t xml:space="preserve"> 2011 Jan-Feb;16(1):99-106</w:t>
      </w:r>
    </w:p>
    <w:p w:rsidR="00802134" w:rsidRPr="00802134" w:rsidRDefault="001C784B" w:rsidP="0080213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36"/>
          <w:szCs w:val="24"/>
        </w:rPr>
      </w:pPr>
      <w:proofErr w:type="spellStart"/>
      <w:r w:rsidRPr="0015206D">
        <w:rPr>
          <w:rFonts w:ascii="Times New Roman" w:hAnsi="Times New Roman" w:cs="Times New Roman"/>
          <w:sz w:val="24"/>
          <w:szCs w:val="18"/>
        </w:rPr>
        <w:t>Sterrett</w:t>
      </w:r>
      <w:proofErr w:type="spellEnd"/>
      <w:r w:rsidRPr="0015206D">
        <w:rPr>
          <w:rFonts w:ascii="Times New Roman" w:hAnsi="Times New Roman" w:cs="Times New Roman"/>
          <w:sz w:val="24"/>
          <w:szCs w:val="18"/>
        </w:rPr>
        <w:t xml:space="preserve"> JD, Oliver T, </w:t>
      </w:r>
      <w:r w:rsidR="0015206D" w:rsidRPr="0015206D">
        <w:rPr>
          <w:rFonts w:ascii="Times New Roman" w:hAnsi="Times New Roman" w:cs="Times New Roman"/>
          <w:sz w:val="24"/>
          <w:szCs w:val="18"/>
        </w:rPr>
        <w:t xml:space="preserve">Robinson F, Fortson W, </w:t>
      </w:r>
      <w:proofErr w:type="spellStart"/>
      <w:r w:rsidR="0015206D" w:rsidRPr="0015206D">
        <w:rPr>
          <w:rFonts w:ascii="Times New Roman" w:hAnsi="Times New Roman" w:cs="Times New Roman"/>
          <w:sz w:val="24"/>
          <w:szCs w:val="18"/>
        </w:rPr>
        <w:t>Knaak</w:t>
      </w:r>
      <w:proofErr w:type="spellEnd"/>
      <w:r w:rsidR="0015206D" w:rsidRPr="0015206D">
        <w:rPr>
          <w:rFonts w:ascii="Times New Roman" w:hAnsi="Times New Roman" w:cs="Times New Roman"/>
          <w:sz w:val="24"/>
          <w:szCs w:val="18"/>
        </w:rPr>
        <w:t xml:space="preserve"> B, </w:t>
      </w:r>
      <w:r w:rsidRPr="0015206D">
        <w:rPr>
          <w:rFonts w:ascii="Times New Roman" w:hAnsi="Times New Roman" w:cs="Times New Roman"/>
          <w:sz w:val="24"/>
          <w:szCs w:val="18"/>
        </w:rPr>
        <w:t>Russell CM. Width/length r</w:t>
      </w:r>
      <w:r w:rsidR="0015206D" w:rsidRPr="0015206D">
        <w:rPr>
          <w:rFonts w:ascii="Times New Roman" w:hAnsi="Times New Roman" w:cs="Times New Roman"/>
          <w:sz w:val="24"/>
          <w:szCs w:val="18"/>
        </w:rPr>
        <w:t xml:space="preserve">atios of normal clinical crowns </w:t>
      </w:r>
      <w:r w:rsidRPr="0015206D">
        <w:rPr>
          <w:rFonts w:ascii="Times New Roman" w:hAnsi="Times New Roman" w:cs="Times New Roman"/>
          <w:sz w:val="24"/>
          <w:szCs w:val="18"/>
        </w:rPr>
        <w:t>of the maxillary an</w:t>
      </w:r>
      <w:r w:rsidR="0015206D" w:rsidRPr="0015206D">
        <w:rPr>
          <w:rFonts w:ascii="Times New Roman" w:hAnsi="Times New Roman" w:cs="Times New Roman"/>
          <w:sz w:val="24"/>
          <w:szCs w:val="18"/>
        </w:rPr>
        <w:t xml:space="preserve">terior dentition in man. J </w:t>
      </w:r>
      <w:proofErr w:type="spellStart"/>
      <w:r w:rsidR="0015206D" w:rsidRPr="0015206D">
        <w:rPr>
          <w:rFonts w:ascii="Times New Roman" w:hAnsi="Times New Roman" w:cs="Times New Roman"/>
          <w:sz w:val="24"/>
          <w:szCs w:val="18"/>
        </w:rPr>
        <w:t>Clin</w:t>
      </w:r>
      <w:proofErr w:type="spellEnd"/>
      <w:r w:rsidR="0015206D" w:rsidRPr="0015206D">
        <w:rPr>
          <w:rFonts w:ascii="Times New Roman" w:hAnsi="Times New Roman" w:cs="Times New Roman"/>
          <w:sz w:val="24"/>
          <w:szCs w:val="18"/>
        </w:rPr>
        <w:t xml:space="preserve"> </w:t>
      </w:r>
      <w:proofErr w:type="spellStart"/>
      <w:r w:rsidRPr="0015206D">
        <w:rPr>
          <w:rFonts w:ascii="Times New Roman" w:hAnsi="Times New Roman" w:cs="Times New Roman"/>
          <w:sz w:val="24"/>
          <w:szCs w:val="18"/>
        </w:rPr>
        <w:t>Periodontol</w:t>
      </w:r>
      <w:proofErr w:type="spellEnd"/>
      <w:r w:rsidRPr="0015206D">
        <w:rPr>
          <w:rFonts w:ascii="Times New Roman" w:hAnsi="Times New Roman" w:cs="Times New Roman"/>
          <w:sz w:val="24"/>
          <w:szCs w:val="18"/>
        </w:rPr>
        <w:t>. 1999 Mar; 26(3):153-7.</w:t>
      </w:r>
      <w:r w:rsidR="00802134" w:rsidRPr="00802134">
        <w:rPr>
          <w:rFonts w:ascii="Times New Roman" w:hAnsi="Times New Roman" w:cs="Times New Roman"/>
          <w:sz w:val="24"/>
          <w:szCs w:val="18"/>
        </w:rPr>
        <w:t xml:space="preserve"> </w:t>
      </w:r>
    </w:p>
    <w:p w:rsidR="00802134" w:rsidRPr="007A5895" w:rsidRDefault="00802134" w:rsidP="0080213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36"/>
          <w:szCs w:val="24"/>
        </w:rPr>
      </w:pPr>
      <w:proofErr w:type="spellStart"/>
      <w:r>
        <w:rPr>
          <w:rFonts w:ascii="Times New Roman" w:hAnsi="Times New Roman" w:cs="Times New Roman"/>
          <w:sz w:val="24"/>
          <w:szCs w:val="18"/>
        </w:rPr>
        <w:t>R.J.Parlow</w:t>
      </w:r>
      <w:proofErr w:type="spellEnd"/>
      <w:r>
        <w:rPr>
          <w:rFonts w:ascii="Times New Roman" w:hAnsi="Times New Roman" w:cs="Times New Roman"/>
          <w:sz w:val="24"/>
          <w:szCs w:val="18"/>
        </w:rPr>
        <w:t xml:space="preserve">. A radiographic </w:t>
      </w:r>
      <w:proofErr w:type="spellStart"/>
      <w:r>
        <w:rPr>
          <w:rFonts w:ascii="Times New Roman" w:hAnsi="Times New Roman" w:cs="Times New Roman"/>
          <w:sz w:val="24"/>
          <w:szCs w:val="18"/>
        </w:rPr>
        <w:t>cephalometric</w:t>
      </w:r>
      <w:proofErr w:type="spellEnd"/>
      <w:r>
        <w:rPr>
          <w:rFonts w:ascii="Times New Roman" w:hAnsi="Times New Roman" w:cs="Times New Roman"/>
          <w:sz w:val="24"/>
          <w:szCs w:val="18"/>
        </w:rPr>
        <w:t xml:space="preserve"> appraisal of the proportional relationship of the molar and incisor heights in </w:t>
      </w:r>
      <w:proofErr w:type="spellStart"/>
      <w:r>
        <w:rPr>
          <w:rFonts w:ascii="Times New Roman" w:hAnsi="Times New Roman" w:cs="Times New Roman"/>
          <w:sz w:val="24"/>
          <w:szCs w:val="18"/>
        </w:rPr>
        <w:t>hypodivergent</w:t>
      </w:r>
      <w:proofErr w:type="spellEnd"/>
      <w:r>
        <w:rPr>
          <w:rFonts w:ascii="Times New Roman" w:hAnsi="Times New Roman" w:cs="Times New Roman"/>
          <w:sz w:val="24"/>
          <w:szCs w:val="18"/>
        </w:rPr>
        <w:t xml:space="preserve">, </w:t>
      </w:r>
      <w:proofErr w:type="spellStart"/>
      <w:r>
        <w:rPr>
          <w:rFonts w:ascii="Times New Roman" w:hAnsi="Times New Roman" w:cs="Times New Roman"/>
          <w:sz w:val="24"/>
          <w:szCs w:val="18"/>
        </w:rPr>
        <w:t>hyperdivergent</w:t>
      </w:r>
      <w:proofErr w:type="spellEnd"/>
      <w:r>
        <w:rPr>
          <w:rFonts w:ascii="Times New Roman" w:hAnsi="Times New Roman" w:cs="Times New Roman"/>
          <w:sz w:val="24"/>
          <w:szCs w:val="18"/>
        </w:rPr>
        <w:t xml:space="preserve">, and normal patients. </w:t>
      </w:r>
      <w:proofErr w:type="spellStart"/>
      <w:r>
        <w:rPr>
          <w:rFonts w:ascii="Times New Roman" w:hAnsi="Times New Roman" w:cs="Times New Roman"/>
          <w:sz w:val="24"/>
          <w:szCs w:val="18"/>
        </w:rPr>
        <w:t>Am.J.Orthod</w:t>
      </w:r>
      <w:proofErr w:type="spellEnd"/>
      <w:r>
        <w:rPr>
          <w:rFonts w:ascii="Times New Roman" w:hAnsi="Times New Roman" w:cs="Times New Roman"/>
          <w:sz w:val="24"/>
          <w:szCs w:val="18"/>
        </w:rPr>
        <w:t>. march 1972; 61(3) 309-310.</w:t>
      </w:r>
    </w:p>
    <w:p w:rsidR="0015206D" w:rsidRPr="00802134" w:rsidRDefault="0015206D" w:rsidP="00802134">
      <w:pPr>
        <w:pStyle w:val="ListParagraph"/>
        <w:numPr>
          <w:ilvl w:val="0"/>
          <w:numId w:val="4"/>
        </w:numPr>
        <w:autoSpaceDE w:val="0"/>
        <w:autoSpaceDN w:val="0"/>
        <w:adjustRightInd w:val="0"/>
        <w:spacing w:after="0" w:line="240" w:lineRule="auto"/>
        <w:jc w:val="both"/>
        <w:rPr>
          <w:rFonts w:ascii="Times New Roman" w:hAnsi="Times New Roman" w:cs="Times New Roman"/>
          <w:color w:val="000000" w:themeColor="text1"/>
          <w:sz w:val="36"/>
          <w:szCs w:val="24"/>
        </w:rPr>
      </w:pPr>
      <w:proofErr w:type="spellStart"/>
      <w:r w:rsidRPr="00802134">
        <w:rPr>
          <w:rFonts w:ascii="Times New Roman" w:hAnsi="Times New Roman" w:cs="Times New Roman"/>
          <w:sz w:val="24"/>
          <w:szCs w:val="18"/>
        </w:rPr>
        <w:t>Profitt</w:t>
      </w:r>
      <w:proofErr w:type="spellEnd"/>
      <w:r w:rsidRPr="00802134">
        <w:rPr>
          <w:rFonts w:ascii="Times New Roman" w:hAnsi="Times New Roman" w:cs="Times New Roman"/>
          <w:sz w:val="24"/>
          <w:szCs w:val="18"/>
        </w:rPr>
        <w:t xml:space="preserve"> WR, Fields HW, Sarver DM. contemporary orthodontics. Elsevier 4t</w:t>
      </w:r>
      <w:r w:rsidR="007A5895" w:rsidRPr="00802134">
        <w:rPr>
          <w:rFonts w:ascii="Times New Roman" w:hAnsi="Times New Roman" w:cs="Times New Roman"/>
          <w:sz w:val="24"/>
          <w:szCs w:val="18"/>
        </w:rPr>
        <w:t xml:space="preserve">h ed. Noida UP India </w:t>
      </w:r>
      <w:proofErr w:type="spellStart"/>
      <w:r w:rsidR="007A5895" w:rsidRPr="00802134">
        <w:rPr>
          <w:rFonts w:ascii="Times New Roman" w:hAnsi="Times New Roman" w:cs="Times New Roman"/>
          <w:sz w:val="24"/>
          <w:szCs w:val="18"/>
        </w:rPr>
        <w:t>pg</w:t>
      </w:r>
      <w:proofErr w:type="spellEnd"/>
      <w:r w:rsidR="007A5895" w:rsidRPr="00802134">
        <w:rPr>
          <w:rFonts w:ascii="Times New Roman" w:hAnsi="Times New Roman" w:cs="Times New Roman"/>
          <w:sz w:val="24"/>
          <w:szCs w:val="18"/>
        </w:rPr>
        <w:t xml:space="preserve"> 309-316.</w:t>
      </w:r>
    </w:p>
    <w:p w:rsidR="0015206D" w:rsidRDefault="0015206D" w:rsidP="001C784B">
      <w:pPr>
        <w:autoSpaceDE w:val="0"/>
        <w:autoSpaceDN w:val="0"/>
        <w:adjustRightInd w:val="0"/>
        <w:spacing w:after="0" w:line="240" w:lineRule="auto"/>
        <w:rPr>
          <w:rFonts w:ascii="Times New Roman" w:hAnsi="Times New Roman" w:cs="Times New Roman"/>
          <w:sz w:val="18"/>
          <w:szCs w:val="18"/>
        </w:rPr>
      </w:pPr>
    </w:p>
    <w:sectPr w:rsidR="00152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122C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3CB1"/>
    <w:multiLevelType w:val="hybridMultilevel"/>
    <w:tmpl w:val="BDD8AE30"/>
    <w:lvl w:ilvl="0" w:tplc="31AAD3CC">
      <w:start w:val="1"/>
      <w:numFmt w:val="decimal"/>
      <w:lvlText w:val="%1."/>
      <w:lvlJc w:val="left"/>
      <w:pPr>
        <w:ind w:left="720" w:hanging="360"/>
      </w:pPr>
      <w:rPr>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47E1F7B"/>
    <w:multiLevelType w:val="hybridMultilevel"/>
    <w:tmpl w:val="B7CED6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C3B1E06"/>
    <w:multiLevelType w:val="hybridMultilevel"/>
    <w:tmpl w:val="1A14DB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2EE76A9"/>
    <w:multiLevelType w:val="hybridMultilevel"/>
    <w:tmpl w:val="1A14DB0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26"/>
    <w:rsid w:val="00017451"/>
    <w:rsid w:val="0002015C"/>
    <w:rsid w:val="00024402"/>
    <w:rsid w:val="000473FE"/>
    <w:rsid w:val="00053FEB"/>
    <w:rsid w:val="00060E1E"/>
    <w:rsid w:val="000A607C"/>
    <w:rsid w:val="000B1EC8"/>
    <w:rsid w:val="000D5403"/>
    <w:rsid w:val="000F46B9"/>
    <w:rsid w:val="00102582"/>
    <w:rsid w:val="00110AC2"/>
    <w:rsid w:val="0015206D"/>
    <w:rsid w:val="0015616D"/>
    <w:rsid w:val="001676C5"/>
    <w:rsid w:val="00167713"/>
    <w:rsid w:val="001A6B28"/>
    <w:rsid w:val="001C784B"/>
    <w:rsid w:val="00214EDE"/>
    <w:rsid w:val="00222910"/>
    <w:rsid w:val="00230A6E"/>
    <w:rsid w:val="00235097"/>
    <w:rsid w:val="002402AF"/>
    <w:rsid w:val="00255841"/>
    <w:rsid w:val="00292357"/>
    <w:rsid w:val="00293EAD"/>
    <w:rsid w:val="00295AC0"/>
    <w:rsid w:val="002B1F32"/>
    <w:rsid w:val="002E1474"/>
    <w:rsid w:val="002F345C"/>
    <w:rsid w:val="00304F14"/>
    <w:rsid w:val="00312116"/>
    <w:rsid w:val="003131D3"/>
    <w:rsid w:val="00314796"/>
    <w:rsid w:val="00377045"/>
    <w:rsid w:val="00384C27"/>
    <w:rsid w:val="00386A1D"/>
    <w:rsid w:val="003925D9"/>
    <w:rsid w:val="003B5707"/>
    <w:rsid w:val="003C02A7"/>
    <w:rsid w:val="003C61EF"/>
    <w:rsid w:val="003E1CAE"/>
    <w:rsid w:val="003E3147"/>
    <w:rsid w:val="003F4AD5"/>
    <w:rsid w:val="00405792"/>
    <w:rsid w:val="00421C4E"/>
    <w:rsid w:val="00445A85"/>
    <w:rsid w:val="00452107"/>
    <w:rsid w:val="00454217"/>
    <w:rsid w:val="00471DA0"/>
    <w:rsid w:val="004972FA"/>
    <w:rsid w:val="004A4F5B"/>
    <w:rsid w:val="004B6327"/>
    <w:rsid w:val="004B75F2"/>
    <w:rsid w:val="004C0F14"/>
    <w:rsid w:val="004D19FC"/>
    <w:rsid w:val="004E2A26"/>
    <w:rsid w:val="004F49DF"/>
    <w:rsid w:val="004F71C6"/>
    <w:rsid w:val="00504D1F"/>
    <w:rsid w:val="005323C7"/>
    <w:rsid w:val="00533A80"/>
    <w:rsid w:val="00552CE6"/>
    <w:rsid w:val="00553762"/>
    <w:rsid w:val="00584AFF"/>
    <w:rsid w:val="005A3DDC"/>
    <w:rsid w:val="005B133A"/>
    <w:rsid w:val="005B2D2F"/>
    <w:rsid w:val="005B35BB"/>
    <w:rsid w:val="005D1600"/>
    <w:rsid w:val="005D229B"/>
    <w:rsid w:val="005E1526"/>
    <w:rsid w:val="005E2BDB"/>
    <w:rsid w:val="00653D85"/>
    <w:rsid w:val="0065641C"/>
    <w:rsid w:val="006624DC"/>
    <w:rsid w:val="006875DF"/>
    <w:rsid w:val="00693CC0"/>
    <w:rsid w:val="006A262C"/>
    <w:rsid w:val="006A4AF2"/>
    <w:rsid w:val="006B2592"/>
    <w:rsid w:val="006D0691"/>
    <w:rsid w:val="006E4439"/>
    <w:rsid w:val="006E6716"/>
    <w:rsid w:val="0070225B"/>
    <w:rsid w:val="007573B0"/>
    <w:rsid w:val="00784F73"/>
    <w:rsid w:val="0079034A"/>
    <w:rsid w:val="007A5895"/>
    <w:rsid w:val="007D2A0A"/>
    <w:rsid w:val="007F36B9"/>
    <w:rsid w:val="00802134"/>
    <w:rsid w:val="008203B4"/>
    <w:rsid w:val="008343AB"/>
    <w:rsid w:val="00834C78"/>
    <w:rsid w:val="00891DC6"/>
    <w:rsid w:val="008A4D76"/>
    <w:rsid w:val="008D13B4"/>
    <w:rsid w:val="008E768D"/>
    <w:rsid w:val="008F3318"/>
    <w:rsid w:val="008F3C65"/>
    <w:rsid w:val="009054AD"/>
    <w:rsid w:val="00917405"/>
    <w:rsid w:val="009445BF"/>
    <w:rsid w:val="00985349"/>
    <w:rsid w:val="00985AE3"/>
    <w:rsid w:val="00992D49"/>
    <w:rsid w:val="009C4E8E"/>
    <w:rsid w:val="00A04482"/>
    <w:rsid w:val="00A32C6E"/>
    <w:rsid w:val="00A4254C"/>
    <w:rsid w:val="00A8468A"/>
    <w:rsid w:val="00A91073"/>
    <w:rsid w:val="00A914A5"/>
    <w:rsid w:val="00AB0232"/>
    <w:rsid w:val="00AE1B94"/>
    <w:rsid w:val="00B40E53"/>
    <w:rsid w:val="00B72969"/>
    <w:rsid w:val="00B86DBA"/>
    <w:rsid w:val="00B94738"/>
    <w:rsid w:val="00BA0221"/>
    <w:rsid w:val="00BA2FF7"/>
    <w:rsid w:val="00BD0747"/>
    <w:rsid w:val="00C0373B"/>
    <w:rsid w:val="00C07042"/>
    <w:rsid w:val="00C2575F"/>
    <w:rsid w:val="00C318F8"/>
    <w:rsid w:val="00C33D99"/>
    <w:rsid w:val="00C4286F"/>
    <w:rsid w:val="00C4314C"/>
    <w:rsid w:val="00C438C1"/>
    <w:rsid w:val="00C55FE1"/>
    <w:rsid w:val="00C73B95"/>
    <w:rsid w:val="00C82278"/>
    <w:rsid w:val="00C93F3B"/>
    <w:rsid w:val="00CB007E"/>
    <w:rsid w:val="00CB62BE"/>
    <w:rsid w:val="00CD5ED7"/>
    <w:rsid w:val="00D13BD1"/>
    <w:rsid w:val="00D253E3"/>
    <w:rsid w:val="00D27C4A"/>
    <w:rsid w:val="00D550A0"/>
    <w:rsid w:val="00D661A4"/>
    <w:rsid w:val="00D703E8"/>
    <w:rsid w:val="00D72EA8"/>
    <w:rsid w:val="00D81545"/>
    <w:rsid w:val="00D91970"/>
    <w:rsid w:val="00D960C9"/>
    <w:rsid w:val="00DC52BF"/>
    <w:rsid w:val="00E3620A"/>
    <w:rsid w:val="00E4227C"/>
    <w:rsid w:val="00E628B4"/>
    <w:rsid w:val="00E76077"/>
    <w:rsid w:val="00E8255E"/>
    <w:rsid w:val="00E82BC9"/>
    <w:rsid w:val="00EA34C9"/>
    <w:rsid w:val="00EB339A"/>
    <w:rsid w:val="00EB44F3"/>
    <w:rsid w:val="00ED4135"/>
    <w:rsid w:val="00EF51C2"/>
    <w:rsid w:val="00F15619"/>
    <w:rsid w:val="00F23B9F"/>
    <w:rsid w:val="00F37873"/>
    <w:rsid w:val="00F450D5"/>
    <w:rsid w:val="00F467C6"/>
    <w:rsid w:val="00F47070"/>
    <w:rsid w:val="00F56295"/>
    <w:rsid w:val="00F64F5A"/>
    <w:rsid w:val="00F65854"/>
    <w:rsid w:val="00F738D9"/>
    <w:rsid w:val="00FF01D7"/>
    <w:rsid w:val="00FF2856"/>
    <w:rsid w:val="00FF6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4C27"/>
    <w:rPr>
      <w:i/>
      <w:iCs/>
    </w:rPr>
  </w:style>
  <w:style w:type="character" w:customStyle="1" w:styleId="apple-converted-space">
    <w:name w:val="apple-converted-space"/>
    <w:basedOn w:val="DefaultParagraphFont"/>
    <w:rsid w:val="00384C27"/>
  </w:style>
  <w:style w:type="paragraph" w:styleId="ListParagraph">
    <w:name w:val="List Paragraph"/>
    <w:basedOn w:val="Normal"/>
    <w:uiPriority w:val="34"/>
    <w:qFormat/>
    <w:rsid w:val="00D550A0"/>
    <w:pPr>
      <w:ind w:left="720"/>
      <w:contextualSpacing/>
    </w:pPr>
    <w:rPr>
      <w:lang w:val="en-IN"/>
    </w:rPr>
  </w:style>
  <w:style w:type="table" w:styleId="TableGrid">
    <w:name w:val="Table Grid"/>
    <w:basedOn w:val="TableNormal"/>
    <w:uiPriority w:val="59"/>
    <w:rsid w:val="00452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022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6B9"/>
    <w:rPr>
      <w:rFonts w:ascii="Tahoma" w:hAnsi="Tahoma" w:cs="Tahoma"/>
      <w:sz w:val="16"/>
      <w:szCs w:val="16"/>
    </w:rPr>
  </w:style>
  <w:style w:type="paragraph" w:styleId="NoSpacing">
    <w:name w:val="No Spacing"/>
    <w:uiPriority w:val="1"/>
    <w:qFormat/>
    <w:rsid w:val="00985AE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84C27"/>
    <w:rPr>
      <w:i/>
      <w:iCs/>
    </w:rPr>
  </w:style>
  <w:style w:type="character" w:customStyle="1" w:styleId="apple-converted-space">
    <w:name w:val="apple-converted-space"/>
    <w:basedOn w:val="DefaultParagraphFont"/>
    <w:rsid w:val="00384C27"/>
  </w:style>
  <w:style w:type="paragraph" w:styleId="ListParagraph">
    <w:name w:val="List Paragraph"/>
    <w:basedOn w:val="Normal"/>
    <w:uiPriority w:val="34"/>
    <w:qFormat/>
    <w:rsid w:val="00D550A0"/>
    <w:pPr>
      <w:ind w:left="720"/>
      <w:contextualSpacing/>
    </w:pPr>
    <w:rPr>
      <w:lang w:val="en-IN"/>
    </w:rPr>
  </w:style>
  <w:style w:type="table" w:styleId="TableGrid">
    <w:name w:val="Table Grid"/>
    <w:basedOn w:val="TableNormal"/>
    <w:uiPriority w:val="59"/>
    <w:rsid w:val="004521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022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46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6B9"/>
    <w:rPr>
      <w:rFonts w:ascii="Tahoma" w:hAnsi="Tahoma" w:cs="Tahoma"/>
      <w:sz w:val="16"/>
      <w:szCs w:val="16"/>
    </w:rPr>
  </w:style>
  <w:style w:type="paragraph" w:styleId="NoSpacing">
    <w:name w:val="No Spacing"/>
    <w:uiPriority w:val="1"/>
    <w:qFormat/>
    <w:rsid w:val="00985A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96011">
      <w:bodyDiv w:val="1"/>
      <w:marLeft w:val="0"/>
      <w:marRight w:val="0"/>
      <w:marTop w:val="0"/>
      <w:marBottom w:val="0"/>
      <w:divBdr>
        <w:top w:val="none" w:sz="0" w:space="0" w:color="auto"/>
        <w:left w:val="none" w:sz="0" w:space="0" w:color="auto"/>
        <w:bottom w:val="none" w:sz="0" w:space="0" w:color="auto"/>
        <w:right w:val="none" w:sz="0" w:space="0" w:color="auto"/>
      </w:divBdr>
    </w:div>
    <w:div w:id="135141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1.xml"/><Relationship Id="rId18"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chart" Target="charts/chart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5.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igne_000\Desktop\paper%20presentation\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jigne_000\Desktop\paper%20presentation\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jigne_000\Desktop\paper%20presentation\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igne_000\Desktop\paper%20presentation\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jigne_000\Desktop\paper%20presentation\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jigne_000\Desktop\paper%20presentation\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45773533627446E-2"/>
          <c:y val="8.5076779195703986E-2"/>
          <c:w val="0.58962397667437361"/>
          <c:h val="0.68701743051349351"/>
        </c:manualLayout>
      </c:layout>
      <c:barChart>
        <c:barDir val="col"/>
        <c:grouping val="clustered"/>
        <c:varyColors val="0"/>
        <c:ser>
          <c:idx val="0"/>
          <c:order val="0"/>
          <c:tx>
            <c:strRef>
              <c:f>Sheet1!$A$2</c:f>
              <c:strCache>
                <c:ptCount val="1"/>
                <c:pt idx="0">
                  <c:v>Central incisor upper </c:v>
                </c:pt>
              </c:strCache>
            </c:strRef>
          </c:tx>
          <c:invertIfNegative val="0"/>
          <c:cat>
            <c:strRef>
              <c:f>Sheet1!$B$1:$G$1</c:f>
              <c:strCache>
                <c:ptCount val="5"/>
                <c:pt idx="0">
                  <c:v>Normodivergent</c:v>
                </c:pt>
                <c:pt idx="2">
                  <c:v>Hypodivergent</c:v>
                </c:pt>
                <c:pt idx="4">
                  <c:v>Hyperdivergent</c:v>
                </c:pt>
              </c:strCache>
            </c:strRef>
          </c:cat>
          <c:val>
            <c:numRef>
              <c:f>Sheet1!$B$2:$G$2</c:f>
              <c:numCache>
                <c:formatCode>General</c:formatCode>
                <c:ptCount val="6"/>
                <c:pt idx="0">
                  <c:v>0</c:v>
                </c:pt>
                <c:pt idx="2">
                  <c:v>0</c:v>
                </c:pt>
                <c:pt idx="4">
                  <c:v>0</c:v>
                </c:pt>
              </c:numCache>
            </c:numRef>
          </c:val>
        </c:ser>
        <c:ser>
          <c:idx val="1"/>
          <c:order val="1"/>
          <c:tx>
            <c:strRef>
              <c:f>Sheet1!$A$3</c:f>
              <c:strCache>
                <c:ptCount val="1"/>
                <c:pt idx="0">
                  <c:v>Female </c:v>
                </c:pt>
              </c:strCache>
            </c:strRef>
          </c:tx>
          <c:invertIfNegative val="0"/>
          <c:cat>
            <c:strRef>
              <c:f>Sheet1!$B$1:$G$1</c:f>
              <c:strCache>
                <c:ptCount val="5"/>
                <c:pt idx="0">
                  <c:v>Normodivergent</c:v>
                </c:pt>
                <c:pt idx="2">
                  <c:v>Hypodivergent</c:v>
                </c:pt>
                <c:pt idx="4">
                  <c:v>Hyperdivergent</c:v>
                </c:pt>
              </c:strCache>
            </c:strRef>
          </c:cat>
          <c:val>
            <c:numRef>
              <c:f>Sheet1!$B$3:$G$3</c:f>
              <c:numCache>
                <c:formatCode>General</c:formatCode>
                <c:ptCount val="6"/>
                <c:pt idx="0">
                  <c:v>9.92</c:v>
                </c:pt>
                <c:pt idx="2">
                  <c:v>9.85</c:v>
                </c:pt>
                <c:pt idx="4">
                  <c:v>10.27</c:v>
                </c:pt>
              </c:numCache>
            </c:numRef>
          </c:val>
        </c:ser>
        <c:ser>
          <c:idx val="2"/>
          <c:order val="2"/>
          <c:tx>
            <c:strRef>
              <c:f>Sheet1!$A$4</c:f>
              <c:strCache>
                <c:ptCount val="1"/>
                <c:pt idx="0">
                  <c:v>Male</c:v>
                </c:pt>
              </c:strCache>
            </c:strRef>
          </c:tx>
          <c:invertIfNegative val="0"/>
          <c:cat>
            <c:strRef>
              <c:f>Sheet1!$B$1:$G$1</c:f>
              <c:strCache>
                <c:ptCount val="5"/>
                <c:pt idx="0">
                  <c:v>Normodivergent</c:v>
                </c:pt>
                <c:pt idx="2">
                  <c:v>Hypodivergent</c:v>
                </c:pt>
                <c:pt idx="4">
                  <c:v>Hyperdivergent</c:v>
                </c:pt>
              </c:strCache>
            </c:strRef>
          </c:cat>
          <c:val>
            <c:numRef>
              <c:f>Sheet1!$B$4:$G$4</c:f>
              <c:numCache>
                <c:formatCode>General</c:formatCode>
                <c:ptCount val="6"/>
                <c:pt idx="0">
                  <c:v>10.08</c:v>
                </c:pt>
                <c:pt idx="2">
                  <c:v>10.37</c:v>
                </c:pt>
                <c:pt idx="4">
                  <c:v>10.68</c:v>
                </c:pt>
              </c:numCache>
            </c:numRef>
          </c:val>
        </c:ser>
        <c:dLbls>
          <c:showLegendKey val="0"/>
          <c:showVal val="0"/>
          <c:showCatName val="0"/>
          <c:showSerName val="0"/>
          <c:showPercent val="0"/>
          <c:showBubbleSize val="0"/>
        </c:dLbls>
        <c:gapWidth val="150"/>
        <c:axId val="102555008"/>
        <c:axId val="111921024"/>
      </c:barChart>
      <c:catAx>
        <c:axId val="102555008"/>
        <c:scaling>
          <c:orientation val="minMax"/>
        </c:scaling>
        <c:delete val="0"/>
        <c:axPos val="b"/>
        <c:majorTickMark val="out"/>
        <c:minorTickMark val="none"/>
        <c:tickLblPos val="nextTo"/>
        <c:crossAx val="111921024"/>
        <c:crosses val="autoZero"/>
        <c:auto val="1"/>
        <c:lblAlgn val="ctr"/>
        <c:lblOffset val="100"/>
        <c:noMultiLvlLbl val="0"/>
      </c:catAx>
      <c:valAx>
        <c:axId val="111921024"/>
        <c:scaling>
          <c:orientation val="minMax"/>
        </c:scaling>
        <c:delete val="0"/>
        <c:axPos val="l"/>
        <c:majorGridlines/>
        <c:numFmt formatCode="General" sourceLinked="1"/>
        <c:majorTickMark val="out"/>
        <c:minorTickMark val="none"/>
        <c:tickLblPos val="nextTo"/>
        <c:crossAx val="1025550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Sheet1!$A$18</c:f>
              <c:strCache>
                <c:ptCount val="1"/>
                <c:pt idx="0">
                  <c:v>upper 1st molar</c:v>
                </c:pt>
              </c:strCache>
            </c:strRef>
          </c:tx>
          <c:invertIfNegative val="0"/>
          <c:cat>
            <c:strRef>
              <c:f>Sheet1!$B$17:$G$17</c:f>
              <c:strCache>
                <c:ptCount val="5"/>
                <c:pt idx="0">
                  <c:v>Normodivergent</c:v>
                </c:pt>
                <c:pt idx="2">
                  <c:v>Hypodivergent</c:v>
                </c:pt>
                <c:pt idx="4">
                  <c:v>Hyperdivergent</c:v>
                </c:pt>
              </c:strCache>
            </c:strRef>
          </c:cat>
          <c:val>
            <c:numRef>
              <c:f>Sheet1!$B$18:$G$18</c:f>
              <c:numCache>
                <c:formatCode>General</c:formatCode>
                <c:ptCount val="6"/>
                <c:pt idx="0">
                  <c:v>0</c:v>
                </c:pt>
                <c:pt idx="2">
                  <c:v>0</c:v>
                </c:pt>
                <c:pt idx="4">
                  <c:v>0</c:v>
                </c:pt>
              </c:numCache>
            </c:numRef>
          </c:val>
        </c:ser>
        <c:ser>
          <c:idx val="1"/>
          <c:order val="1"/>
          <c:tx>
            <c:strRef>
              <c:f>Sheet1!$A$19</c:f>
              <c:strCache>
                <c:ptCount val="1"/>
                <c:pt idx="0">
                  <c:v>Female </c:v>
                </c:pt>
              </c:strCache>
            </c:strRef>
          </c:tx>
          <c:invertIfNegative val="0"/>
          <c:cat>
            <c:strRef>
              <c:f>Sheet1!$B$17:$G$17</c:f>
              <c:strCache>
                <c:ptCount val="5"/>
                <c:pt idx="0">
                  <c:v>Normodivergent</c:v>
                </c:pt>
                <c:pt idx="2">
                  <c:v>Hypodivergent</c:v>
                </c:pt>
                <c:pt idx="4">
                  <c:v>Hyperdivergent</c:v>
                </c:pt>
              </c:strCache>
            </c:strRef>
          </c:cat>
          <c:val>
            <c:numRef>
              <c:f>Sheet1!$B$19:$G$19</c:f>
              <c:numCache>
                <c:formatCode>General</c:formatCode>
                <c:ptCount val="6"/>
                <c:pt idx="0">
                  <c:v>6.02</c:v>
                </c:pt>
                <c:pt idx="2">
                  <c:v>6.12</c:v>
                </c:pt>
                <c:pt idx="4">
                  <c:v>6.47</c:v>
                </c:pt>
              </c:numCache>
            </c:numRef>
          </c:val>
        </c:ser>
        <c:ser>
          <c:idx val="2"/>
          <c:order val="2"/>
          <c:tx>
            <c:strRef>
              <c:f>Sheet1!$A$20</c:f>
              <c:strCache>
                <c:ptCount val="1"/>
                <c:pt idx="0">
                  <c:v>Male</c:v>
                </c:pt>
              </c:strCache>
            </c:strRef>
          </c:tx>
          <c:invertIfNegative val="0"/>
          <c:cat>
            <c:strRef>
              <c:f>Sheet1!$B$17:$G$17</c:f>
              <c:strCache>
                <c:ptCount val="5"/>
                <c:pt idx="0">
                  <c:v>Normodivergent</c:v>
                </c:pt>
                <c:pt idx="2">
                  <c:v>Hypodivergent</c:v>
                </c:pt>
                <c:pt idx="4">
                  <c:v>Hyperdivergent</c:v>
                </c:pt>
              </c:strCache>
            </c:strRef>
          </c:cat>
          <c:val>
            <c:numRef>
              <c:f>Sheet1!$B$20:$G$20</c:f>
              <c:numCache>
                <c:formatCode>General</c:formatCode>
                <c:ptCount val="6"/>
                <c:pt idx="0">
                  <c:v>6.53</c:v>
                </c:pt>
                <c:pt idx="2">
                  <c:v>6.47</c:v>
                </c:pt>
                <c:pt idx="4">
                  <c:v>6.63</c:v>
                </c:pt>
              </c:numCache>
            </c:numRef>
          </c:val>
        </c:ser>
        <c:dLbls>
          <c:showLegendKey val="0"/>
          <c:showVal val="0"/>
          <c:showCatName val="0"/>
          <c:showSerName val="0"/>
          <c:showPercent val="0"/>
          <c:showBubbleSize val="0"/>
        </c:dLbls>
        <c:gapWidth val="150"/>
        <c:axId val="102530432"/>
        <c:axId val="102536320"/>
      </c:barChart>
      <c:catAx>
        <c:axId val="102530432"/>
        <c:scaling>
          <c:orientation val="minMax"/>
        </c:scaling>
        <c:delete val="0"/>
        <c:axPos val="b"/>
        <c:majorTickMark val="out"/>
        <c:minorTickMark val="none"/>
        <c:tickLblPos val="nextTo"/>
        <c:crossAx val="102536320"/>
        <c:crosses val="autoZero"/>
        <c:auto val="1"/>
        <c:lblAlgn val="ctr"/>
        <c:lblOffset val="100"/>
        <c:noMultiLvlLbl val="0"/>
      </c:catAx>
      <c:valAx>
        <c:axId val="102536320"/>
        <c:scaling>
          <c:orientation val="minMax"/>
        </c:scaling>
        <c:delete val="0"/>
        <c:axPos val="l"/>
        <c:majorGridlines/>
        <c:numFmt formatCode="General" sourceLinked="1"/>
        <c:majorTickMark val="out"/>
        <c:minorTickMark val="none"/>
        <c:tickLblPos val="nextTo"/>
        <c:crossAx val="10253043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232592877109867E-2"/>
          <c:y val="8.5076779195703986E-2"/>
          <c:w val="0.64968311887843289"/>
          <c:h val="0.72295652698585089"/>
        </c:manualLayout>
      </c:layout>
      <c:barChart>
        <c:barDir val="col"/>
        <c:grouping val="clustered"/>
        <c:varyColors val="0"/>
        <c:ser>
          <c:idx val="0"/>
          <c:order val="0"/>
          <c:tx>
            <c:strRef>
              <c:f>Sheet1!$A$11</c:f>
              <c:strCache>
                <c:ptCount val="1"/>
                <c:pt idx="0">
                  <c:v>lower central incisor</c:v>
                </c:pt>
              </c:strCache>
            </c:strRef>
          </c:tx>
          <c:invertIfNegative val="0"/>
          <c:cat>
            <c:strRef>
              <c:f>Sheet1!$B$10:$G$10</c:f>
              <c:strCache>
                <c:ptCount val="5"/>
                <c:pt idx="0">
                  <c:v>Normodivergent</c:v>
                </c:pt>
                <c:pt idx="2">
                  <c:v>Hypodivergent</c:v>
                </c:pt>
                <c:pt idx="4">
                  <c:v>Hyperdivergent</c:v>
                </c:pt>
              </c:strCache>
            </c:strRef>
          </c:cat>
          <c:val>
            <c:numRef>
              <c:f>Sheet1!$B$11:$G$11</c:f>
              <c:numCache>
                <c:formatCode>General</c:formatCode>
                <c:ptCount val="6"/>
                <c:pt idx="0">
                  <c:v>0</c:v>
                </c:pt>
                <c:pt idx="2">
                  <c:v>0</c:v>
                </c:pt>
                <c:pt idx="4">
                  <c:v>0</c:v>
                </c:pt>
              </c:numCache>
            </c:numRef>
          </c:val>
        </c:ser>
        <c:ser>
          <c:idx val="1"/>
          <c:order val="1"/>
          <c:tx>
            <c:strRef>
              <c:f>Sheet1!$A$12</c:f>
              <c:strCache>
                <c:ptCount val="1"/>
                <c:pt idx="0">
                  <c:v>Female </c:v>
                </c:pt>
              </c:strCache>
            </c:strRef>
          </c:tx>
          <c:invertIfNegative val="0"/>
          <c:cat>
            <c:strRef>
              <c:f>Sheet1!$B$10:$G$10</c:f>
              <c:strCache>
                <c:ptCount val="5"/>
                <c:pt idx="0">
                  <c:v>Normodivergent</c:v>
                </c:pt>
                <c:pt idx="2">
                  <c:v>Hypodivergent</c:v>
                </c:pt>
                <c:pt idx="4">
                  <c:v>Hyperdivergent</c:v>
                </c:pt>
              </c:strCache>
            </c:strRef>
          </c:cat>
          <c:val>
            <c:numRef>
              <c:f>Sheet1!$B$12:$G$12</c:f>
              <c:numCache>
                <c:formatCode>General</c:formatCode>
                <c:ptCount val="6"/>
                <c:pt idx="0">
                  <c:v>8.4499999999999993</c:v>
                </c:pt>
                <c:pt idx="2">
                  <c:v>8.11</c:v>
                </c:pt>
                <c:pt idx="4">
                  <c:v>8.8000000000000007</c:v>
                </c:pt>
              </c:numCache>
            </c:numRef>
          </c:val>
        </c:ser>
        <c:ser>
          <c:idx val="2"/>
          <c:order val="2"/>
          <c:tx>
            <c:strRef>
              <c:f>Sheet1!$A$13</c:f>
              <c:strCache>
                <c:ptCount val="1"/>
                <c:pt idx="0">
                  <c:v>Male</c:v>
                </c:pt>
              </c:strCache>
            </c:strRef>
          </c:tx>
          <c:invertIfNegative val="0"/>
          <c:cat>
            <c:strRef>
              <c:f>Sheet1!$B$10:$G$10</c:f>
              <c:strCache>
                <c:ptCount val="5"/>
                <c:pt idx="0">
                  <c:v>Normodivergent</c:v>
                </c:pt>
                <c:pt idx="2">
                  <c:v>Hypodivergent</c:v>
                </c:pt>
                <c:pt idx="4">
                  <c:v>Hyperdivergent</c:v>
                </c:pt>
              </c:strCache>
            </c:strRef>
          </c:cat>
          <c:val>
            <c:numRef>
              <c:f>Sheet1!$B$13:$G$13</c:f>
              <c:numCache>
                <c:formatCode>General</c:formatCode>
                <c:ptCount val="6"/>
                <c:pt idx="0">
                  <c:v>8.14</c:v>
                </c:pt>
                <c:pt idx="2">
                  <c:v>8.4</c:v>
                </c:pt>
                <c:pt idx="4">
                  <c:v>8.6300000000000008</c:v>
                </c:pt>
              </c:numCache>
            </c:numRef>
          </c:val>
        </c:ser>
        <c:dLbls>
          <c:showLegendKey val="0"/>
          <c:showVal val="0"/>
          <c:showCatName val="0"/>
          <c:showSerName val="0"/>
          <c:showPercent val="0"/>
          <c:showBubbleSize val="0"/>
        </c:dLbls>
        <c:gapWidth val="150"/>
        <c:axId val="102557952"/>
        <c:axId val="111673344"/>
      </c:barChart>
      <c:catAx>
        <c:axId val="102557952"/>
        <c:scaling>
          <c:orientation val="minMax"/>
        </c:scaling>
        <c:delete val="0"/>
        <c:axPos val="b"/>
        <c:majorTickMark val="out"/>
        <c:minorTickMark val="none"/>
        <c:tickLblPos val="nextTo"/>
        <c:crossAx val="111673344"/>
        <c:crosses val="autoZero"/>
        <c:auto val="1"/>
        <c:lblAlgn val="ctr"/>
        <c:lblOffset val="100"/>
        <c:noMultiLvlLbl val="0"/>
      </c:catAx>
      <c:valAx>
        <c:axId val="111673344"/>
        <c:scaling>
          <c:orientation val="minMax"/>
        </c:scaling>
        <c:delete val="0"/>
        <c:axPos val="l"/>
        <c:majorGridlines/>
        <c:numFmt formatCode="General" sourceLinked="1"/>
        <c:majorTickMark val="out"/>
        <c:minorTickMark val="none"/>
        <c:tickLblPos val="nextTo"/>
        <c:crossAx val="1025579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Sheet1!$A$25</c:f>
              <c:strCache>
                <c:ptCount val="1"/>
                <c:pt idx="0">
                  <c:v>lower 1st molar</c:v>
                </c:pt>
              </c:strCache>
            </c:strRef>
          </c:tx>
          <c:invertIfNegative val="0"/>
          <c:cat>
            <c:strRef>
              <c:f>Sheet1!$B$24:$G$24</c:f>
              <c:strCache>
                <c:ptCount val="5"/>
                <c:pt idx="0">
                  <c:v>Normodivergent</c:v>
                </c:pt>
                <c:pt idx="2">
                  <c:v>Hypodivergent</c:v>
                </c:pt>
                <c:pt idx="4">
                  <c:v>Hyperdivergent</c:v>
                </c:pt>
              </c:strCache>
            </c:strRef>
          </c:cat>
          <c:val>
            <c:numRef>
              <c:f>Sheet1!$B$25:$G$25</c:f>
              <c:numCache>
                <c:formatCode>General</c:formatCode>
                <c:ptCount val="6"/>
                <c:pt idx="0">
                  <c:v>0</c:v>
                </c:pt>
                <c:pt idx="2">
                  <c:v>0</c:v>
                </c:pt>
                <c:pt idx="4">
                  <c:v>0</c:v>
                </c:pt>
              </c:numCache>
            </c:numRef>
          </c:val>
        </c:ser>
        <c:ser>
          <c:idx val="1"/>
          <c:order val="1"/>
          <c:tx>
            <c:strRef>
              <c:f>Sheet1!$A$26</c:f>
              <c:strCache>
                <c:ptCount val="1"/>
                <c:pt idx="0">
                  <c:v>Female</c:v>
                </c:pt>
              </c:strCache>
            </c:strRef>
          </c:tx>
          <c:invertIfNegative val="0"/>
          <c:cat>
            <c:strRef>
              <c:f>Sheet1!$B$24:$G$24</c:f>
              <c:strCache>
                <c:ptCount val="5"/>
                <c:pt idx="0">
                  <c:v>Normodivergent</c:v>
                </c:pt>
                <c:pt idx="2">
                  <c:v>Hypodivergent</c:v>
                </c:pt>
                <c:pt idx="4">
                  <c:v>Hyperdivergent</c:v>
                </c:pt>
              </c:strCache>
            </c:strRef>
          </c:cat>
          <c:val>
            <c:numRef>
              <c:f>Sheet1!$B$26:$G$26</c:f>
              <c:numCache>
                <c:formatCode>General</c:formatCode>
                <c:ptCount val="6"/>
                <c:pt idx="0">
                  <c:v>6.37</c:v>
                </c:pt>
                <c:pt idx="2">
                  <c:v>6.45</c:v>
                </c:pt>
                <c:pt idx="4">
                  <c:v>6.58</c:v>
                </c:pt>
              </c:numCache>
            </c:numRef>
          </c:val>
        </c:ser>
        <c:ser>
          <c:idx val="2"/>
          <c:order val="2"/>
          <c:tx>
            <c:strRef>
              <c:f>Sheet1!$A$27</c:f>
              <c:strCache>
                <c:ptCount val="1"/>
                <c:pt idx="0">
                  <c:v>Male</c:v>
                </c:pt>
              </c:strCache>
            </c:strRef>
          </c:tx>
          <c:invertIfNegative val="0"/>
          <c:cat>
            <c:strRef>
              <c:f>Sheet1!$B$24:$G$24</c:f>
              <c:strCache>
                <c:ptCount val="5"/>
                <c:pt idx="0">
                  <c:v>Normodivergent</c:v>
                </c:pt>
                <c:pt idx="2">
                  <c:v>Hypodivergent</c:v>
                </c:pt>
                <c:pt idx="4">
                  <c:v>Hyperdivergent</c:v>
                </c:pt>
              </c:strCache>
            </c:strRef>
          </c:cat>
          <c:val>
            <c:numRef>
              <c:f>Sheet1!$B$27:$G$27</c:f>
              <c:numCache>
                <c:formatCode>General</c:formatCode>
                <c:ptCount val="6"/>
                <c:pt idx="0">
                  <c:v>6.35</c:v>
                </c:pt>
                <c:pt idx="2">
                  <c:v>6.53</c:v>
                </c:pt>
                <c:pt idx="4">
                  <c:v>6.68</c:v>
                </c:pt>
              </c:numCache>
            </c:numRef>
          </c:val>
        </c:ser>
        <c:dLbls>
          <c:showLegendKey val="0"/>
          <c:showVal val="0"/>
          <c:showCatName val="0"/>
          <c:showSerName val="0"/>
          <c:showPercent val="0"/>
          <c:showBubbleSize val="0"/>
        </c:dLbls>
        <c:gapWidth val="150"/>
        <c:axId val="111682688"/>
        <c:axId val="111684224"/>
      </c:barChart>
      <c:catAx>
        <c:axId val="111682688"/>
        <c:scaling>
          <c:orientation val="minMax"/>
        </c:scaling>
        <c:delete val="0"/>
        <c:axPos val="b"/>
        <c:majorTickMark val="out"/>
        <c:minorTickMark val="none"/>
        <c:tickLblPos val="nextTo"/>
        <c:crossAx val="111684224"/>
        <c:crosses val="autoZero"/>
        <c:auto val="1"/>
        <c:lblAlgn val="ctr"/>
        <c:lblOffset val="100"/>
        <c:noMultiLvlLbl val="0"/>
      </c:catAx>
      <c:valAx>
        <c:axId val="111684224"/>
        <c:scaling>
          <c:orientation val="minMax"/>
        </c:scaling>
        <c:delete val="0"/>
        <c:axPos val="l"/>
        <c:majorGridlines/>
        <c:numFmt formatCode="General" sourceLinked="1"/>
        <c:majorTickMark val="out"/>
        <c:minorTickMark val="none"/>
        <c:tickLblPos val="nextTo"/>
        <c:crossAx val="11168268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972430275483859E-2"/>
          <c:y val="8.3634799887302227E-2"/>
          <c:w val="0.58916159870260121"/>
          <c:h val="0.72765217907083646"/>
        </c:manualLayout>
      </c:layout>
      <c:barChart>
        <c:barDir val="col"/>
        <c:grouping val="clustered"/>
        <c:varyColors val="0"/>
        <c:ser>
          <c:idx val="0"/>
          <c:order val="0"/>
          <c:tx>
            <c:strRef>
              <c:f>Sheet1!$A$30</c:f>
              <c:strCache>
                <c:ptCount val="1"/>
                <c:pt idx="0">
                  <c:v>Soft tissue lower facial height</c:v>
                </c:pt>
              </c:strCache>
            </c:strRef>
          </c:tx>
          <c:invertIfNegative val="0"/>
          <c:cat>
            <c:strRef>
              <c:f>Sheet1!$B$29:$G$29</c:f>
              <c:strCache>
                <c:ptCount val="5"/>
                <c:pt idx="0">
                  <c:v>Normodivergent</c:v>
                </c:pt>
                <c:pt idx="2">
                  <c:v>Hypodivergent</c:v>
                </c:pt>
                <c:pt idx="4">
                  <c:v>Hyperdivergent</c:v>
                </c:pt>
              </c:strCache>
            </c:strRef>
          </c:cat>
          <c:val>
            <c:numRef>
              <c:f>Sheet1!$B$30:$G$30</c:f>
              <c:numCache>
                <c:formatCode>General</c:formatCode>
                <c:ptCount val="6"/>
                <c:pt idx="0">
                  <c:v>0</c:v>
                </c:pt>
                <c:pt idx="2">
                  <c:v>0</c:v>
                </c:pt>
                <c:pt idx="4">
                  <c:v>0</c:v>
                </c:pt>
              </c:numCache>
            </c:numRef>
          </c:val>
        </c:ser>
        <c:ser>
          <c:idx val="1"/>
          <c:order val="1"/>
          <c:tx>
            <c:strRef>
              <c:f>Sheet1!$A$31</c:f>
              <c:strCache>
                <c:ptCount val="1"/>
                <c:pt idx="0">
                  <c:v>Female </c:v>
                </c:pt>
              </c:strCache>
            </c:strRef>
          </c:tx>
          <c:invertIfNegative val="0"/>
          <c:cat>
            <c:strRef>
              <c:f>Sheet1!$B$29:$G$29</c:f>
              <c:strCache>
                <c:ptCount val="5"/>
                <c:pt idx="0">
                  <c:v>Normodivergent</c:v>
                </c:pt>
                <c:pt idx="2">
                  <c:v>Hypodivergent</c:v>
                </c:pt>
                <c:pt idx="4">
                  <c:v>Hyperdivergent</c:v>
                </c:pt>
              </c:strCache>
            </c:strRef>
          </c:cat>
          <c:val>
            <c:numRef>
              <c:f>Sheet1!$B$31:$G$31</c:f>
              <c:numCache>
                <c:formatCode>General</c:formatCode>
                <c:ptCount val="6"/>
                <c:pt idx="0">
                  <c:v>66.63</c:v>
                </c:pt>
                <c:pt idx="2">
                  <c:v>66.400000000000006</c:v>
                </c:pt>
                <c:pt idx="4">
                  <c:v>71.3</c:v>
                </c:pt>
              </c:numCache>
            </c:numRef>
          </c:val>
        </c:ser>
        <c:ser>
          <c:idx val="2"/>
          <c:order val="2"/>
          <c:tx>
            <c:strRef>
              <c:f>Sheet1!$A$32</c:f>
              <c:strCache>
                <c:ptCount val="1"/>
                <c:pt idx="0">
                  <c:v>Male</c:v>
                </c:pt>
              </c:strCache>
            </c:strRef>
          </c:tx>
          <c:invertIfNegative val="0"/>
          <c:cat>
            <c:strRef>
              <c:f>Sheet1!$B$29:$G$29</c:f>
              <c:strCache>
                <c:ptCount val="5"/>
                <c:pt idx="0">
                  <c:v>Normodivergent</c:v>
                </c:pt>
                <c:pt idx="2">
                  <c:v>Hypodivergent</c:v>
                </c:pt>
                <c:pt idx="4">
                  <c:v>Hyperdivergent</c:v>
                </c:pt>
              </c:strCache>
            </c:strRef>
          </c:cat>
          <c:val>
            <c:numRef>
              <c:f>Sheet1!$B$32:$G$32</c:f>
              <c:numCache>
                <c:formatCode>General</c:formatCode>
                <c:ptCount val="6"/>
                <c:pt idx="0">
                  <c:v>68.180000000000007</c:v>
                </c:pt>
                <c:pt idx="2">
                  <c:v>66.930000000000007</c:v>
                </c:pt>
                <c:pt idx="4">
                  <c:v>76.73</c:v>
                </c:pt>
              </c:numCache>
            </c:numRef>
          </c:val>
        </c:ser>
        <c:dLbls>
          <c:showLegendKey val="0"/>
          <c:showVal val="0"/>
          <c:showCatName val="0"/>
          <c:showSerName val="0"/>
          <c:showPercent val="0"/>
          <c:showBubbleSize val="0"/>
        </c:dLbls>
        <c:gapWidth val="150"/>
        <c:axId val="111693824"/>
        <c:axId val="111695360"/>
      </c:barChart>
      <c:catAx>
        <c:axId val="111693824"/>
        <c:scaling>
          <c:orientation val="minMax"/>
        </c:scaling>
        <c:delete val="0"/>
        <c:axPos val="b"/>
        <c:majorTickMark val="out"/>
        <c:minorTickMark val="none"/>
        <c:tickLblPos val="nextTo"/>
        <c:crossAx val="111695360"/>
        <c:crosses val="autoZero"/>
        <c:auto val="1"/>
        <c:lblAlgn val="ctr"/>
        <c:lblOffset val="100"/>
        <c:noMultiLvlLbl val="0"/>
      </c:catAx>
      <c:valAx>
        <c:axId val="111695360"/>
        <c:scaling>
          <c:orientation val="minMax"/>
        </c:scaling>
        <c:delete val="0"/>
        <c:axPos val="l"/>
        <c:majorGridlines/>
        <c:numFmt formatCode="General" sourceLinked="1"/>
        <c:majorTickMark val="out"/>
        <c:minorTickMark val="none"/>
        <c:tickLblPos val="nextTo"/>
        <c:crossAx val="111693824"/>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0672385464012115E-2"/>
          <c:y val="8.3634799887302227E-2"/>
          <c:w val="0.55286409320786123"/>
          <c:h val="0.71882912940967125"/>
        </c:manualLayout>
      </c:layout>
      <c:barChart>
        <c:barDir val="col"/>
        <c:grouping val="clustered"/>
        <c:varyColors val="0"/>
        <c:ser>
          <c:idx val="0"/>
          <c:order val="0"/>
          <c:tx>
            <c:strRef>
              <c:f>Sheet1!$A$36</c:f>
              <c:strCache>
                <c:ptCount val="1"/>
                <c:pt idx="0">
                  <c:v>cephalometric lower facial height</c:v>
                </c:pt>
              </c:strCache>
            </c:strRef>
          </c:tx>
          <c:invertIfNegative val="0"/>
          <c:cat>
            <c:strRef>
              <c:f>Sheet1!$B$35:$G$35</c:f>
              <c:strCache>
                <c:ptCount val="5"/>
                <c:pt idx="0">
                  <c:v>Normodivergent</c:v>
                </c:pt>
                <c:pt idx="2">
                  <c:v>Hypodivergent</c:v>
                </c:pt>
                <c:pt idx="4">
                  <c:v>Hyperdivergent</c:v>
                </c:pt>
              </c:strCache>
            </c:strRef>
          </c:cat>
          <c:val>
            <c:numRef>
              <c:f>Sheet1!$B$36:$G$36</c:f>
              <c:numCache>
                <c:formatCode>General</c:formatCode>
                <c:ptCount val="6"/>
                <c:pt idx="0">
                  <c:v>0</c:v>
                </c:pt>
                <c:pt idx="2">
                  <c:v>0</c:v>
                </c:pt>
                <c:pt idx="4">
                  <c:v>0</c:v>
                </c:pt>
              </c:numCache>
            </c:numRef>
          </c:val>
        </c:ser>
        <c:ser>
          <c:idx val="1"/>
          <c:order val="1"/>
          <c:tx>
            <c:strRef>
              <c:f>Sheet1!$A$37</c:f>
              <c:strCache>
                <c:ptCount val="1"/>
                <c:pt idx="0">
                  <c:v>Female </c:v>
                </c:pt>
              </c:strCache>
            </c:strRef>
          </c:tx>
          <c:invertIfNegative val="0"/>
          <c:cat>
            <c:strRef>
              <c:f>Sheet1!$B$35:$G$35</c:f>
              <c:strCache>
                <c:ptCount val="5"/>
                <c:pt idx="0">
                  <c:v>Normodivergent</c:v>
                </c:pt>
                <c:pt idx="2">
                  <c:v>Hypodivergent</c:v>
                </c:pt>
                <c:pt idx="4">
                  <c:v>Hyperdivergent</c:v>
                </c:pt>
              </c:strCache>
            </c:strRef>
          </c:cat>
          <c:val>
            <c:numRef>
              <c:f>Sheet1!$B$37:$G$37</c:f>
              <c:numCache>
                <c:formatCode>General</c:formatCode>
                <c:ptCount val="6"/>
                <c:pt idx="0">
                  <c:v>67.53</c:v>
                </c:pt>
                <c:pt idx="2">
                  <c:v>67.13</c:v>
                </c:pt>
                <c:pt idx="4">
                  <c:v>72.97</c:v>
                </c:pt>
              </c:numCache>
            </c:numRef>
          </c:val>
        </c:ser>
        <c:ser>
          <c:idx val="2"/>
          <c:order val="2"/>
          <c:tx>
            <c:strRef>
              <c:f>Sheet1!$A$38</c:f>
              <c:strCache>
                <c:ptCount val="1"/>
                <c:pt idx="0">
                  <c:v>Male</c:v>
                </c:pt>
              </c:strCache>
            </c:strRef>
          </c:tx>
          <c:invertIfNegative val="0"/>
          <c:cat>
            <c:strRef>
              <c:f>Sheet1!$B$35:$G$35</c:f>
              <c:strCache>
                <c:ptCount val="5"/>
                <c:pt idx="0">
                  <c:v>Normodivergent</c:v>
                </c:pt>
                <c:pt idx="2">
                  <c:v>Hypodivergent</c:v>
                </c:pt>
                <c:pt idx="4">
                  <c:v>Hyperdivergent</c:v>
                </c:pt>
              </c:strCache>
            </c:strRef>
          </c:cat>
          <c:val>
            <c:numRef>
              <c:f>Sheet1!$B$38:$G$38</c:f>
              <c:numCache>
                <c:formatCode>General</c:formatCode>
                <c:ptCount val="6"/>
                <c:pt idx="0">
                  <c:v>69.73</c:v>
                </c:pt>
                <c:pt idx="2">
                  <c:v>67.67</c:v>
                </c:pt>
                <c:pt idx="4">
                  <c:v>77.930000000000007</c:v>
                </c:pt>
              </c:numCache>
            </c:numRef>
          </c:val>
        </c:ser>
        <c:dLbls>
          <c:showLegendKey val="0"/>
          <c:showVal val="0"/>
          <c:showCatName val="0"/>
          <c:showSerName val="0"/>
          <c:showPercent val="0"/>
          <c:showBubbleSize val="0"/>
        </c:dLbls>
        <c:gapWidth val="150"/>
        <c:axId val="111704704"/>
        <c:axId val="111726976"/>
      </c:barChart>
      <c:catAx>
        <c:axId val="111704704"/>
        <c:scaling>
          <c:orientation val="minMax"/>
        </c:scaling>
        <c:delete val="0"/>
        <c:axPos val="b"/>
        <c:majorTickMark val="out"/>
        <c:minorTickMark val="none"/>
        <c:tickLblPos val="nextTo"/>
        <c:crossAx val="111726976"/>
        <c:crosses val="autoZero"/>
        <c:auto val="1"/>
        <c:lblAlgn val="ctr"/>
        <c:lblOffset val="100"/>
        <c:noMultiLvlLbl val="0"/>
      </c:catAx>
      <c:valAx>
        <c:axId val="111726976"/>
        <c:scaling>
          <c:orientation val="minMax"/>
        </c:scaling>
        <c:delete val="0"/>
        <c:axPos val="l"/>
        <c:majorGridlines/>
        <c:numFmt formatCode="General" sourceLinked="1"/>
        <c:majorTickMark val="out"/>
        <c:minorTickMark val="none"/>
        <c:tickLblPos val="nextTo"/>
        <c:crossAx val="11170470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1102</TotalTime>
  <Pages>12</Pages>
  <Words>3843</Words>
  <Characters>21906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jignesh kakadiya</dc:creator>
  <cp:lastModifiedBy>jignesh kakadiya</cp:lastModifiedBy>
  <cp:revision>111</cp:revision>
  <dcterms:created xsi:type="dcterms:W3CDTF">2015-11-23T08:23:00Z</dcterms:created>
  <dcterms:modified xsi:type="dcterms:W3CDTF">2016-04-13T03:33:00Z</dcterms:modified>
</cp:coreProperties>
</file>