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F46" w:rsidRPr="00515F46" w:rsidRDefault="00515F46" w:rsidP="00515F46">
      <w:pPr>
        <w:spacing w:line="360" w:lineRule="auto"/>
        <w:jc w:val="lowKashida"/>
        <w:rPr>
          <w:b/>
          <w:sz w:val="28"/>
          <w:szCs w:val="28"/>
        </w:rPr>
      </w:pPr>
      <w:r w:rsidRPr="00515F46">
        <w:rPr>
          <w:b/>
          <w:sz w:val="28"/>
          <w:szCs w:val="28"/>
        </w:rPr>
        <w:t>Immediate Reconstruction Using Autogenous Bone Graft in Huge Compound Odontoma</w:t>
      </w:r>
    </w:p>
    <w:p w:rsidR="00515F46" w:rsidRPr="003578BA" w:rsidRDefault="00515F46" w:rsidP="00515F46">
      <w:pPr>
        <w:spacing w:line="360" w:lineRule="auto"/>
        <w:jc w:val="lowKashida"/>
      </w:pPr>
      <w:r w:rsidRPr="003578BA">
        <w:t>Tamer ZERENER / Specialist, DDS PhD1</w:t>
      </w:r>
    </w:p>
    <w:p w:rsidR="00515F46" w:rsidRPr="003578BA" w:rsidRDefault="00515F46" w:rsidP="00515F46">
      <w:pPr>
        <w:spacing w:line="360" w:lineRule="auto"/>
        <w:jc w:val="lowKashida"/>
      </w:pPr>
      <w:r w:rsidRPr="003578BA">
        <w:t>Metin SENCIMEN / Associate Prof, DDS PhD</w:t>
      </w:r>
      <w:r w:rsidRPr="003578BA">
        <w:rPr>
          <w:vertAlign w:val="superscript"/>
        </w:rPr>
        <w:t>1</w:t>
      </w:r>
    </w:p>
    <w:p w:rsidR="00515F46" w:rsidRPr="003578BA" w:rsidRDefault="00515F46" w:rsidP="00515F46">
      <w:pPr>
        <w:spacing w:line="360" w:lineRule="auto"/>
        <w:jc w:val="lowKashida"/>
      </w:pPr>
      <w:r w:rsidRPr="003578BA">
        <w:t>Gurkan Rasit BAYAR / Associate Prof, DDS PhD1</w:t>
      </w:r>
    </w:p>
    <w:p w:rsidR="00515F46" w:rsidRPr="003578BA" w:rsidRDefault="00515F46" w:rsidP="00515F46">
      <w:pPr>
        <w:spacing w:line="360" w:lineRule="auto"/>
        <w:jc w:val="lowKashida"/>
      </w:pPr>
      <w:r w:rsidRPr="003578BA">
        <w:t>Bahadir Kan / Assistant Professor, DDS PhD</w:t>
      </w:r>
      <w:r w:rsidRPr="003578BA">
        <w:rPr>
          <w:vertAlign w:val="superscript"/>
        </w:rPr>
        <w:t>2</w:t>
      </w:r>
    </w:p>
    <w:p w:rsidR="00515F46" w:rsidRPr="003578BA" w:rsidRDefault="00515F46" w:rsidP="00515F46">
      <w:pPr>
        <w:spacing w:line="360" w:lineRule="auto"/>
        <w:jc w:val="lowKashida"/>
      </w:pPr>
      <w:r w:rsidRPr="003578BA">
        <w:t>Hasan Ayberk ALTUG /Associate Prof, DDS PhD</w:t>
      </w:r>
      <w:r w:rsidRPr="003578BA">
        <w:rPr>
          <w:vertAlign w:val="superscript"/>
        </w:rPr>
        <w:t>1</w:t>
      </w:r>
    </w:p>
    <w:p w:rsidR="00515F46" w:rsidRPr="003578BA" w:rsidRDefault="00515F46" w:rsidP="00515F46">
      <w:pPr>
        <w:spacing w:line="360" w:lineRule="auto"/>
        <w:jc w:val="lowKashida"/>
      </w:pPr>
      <w:r w:rsidRPr="003578BA">
        <w:t>Gamze Arici / Assistant, DDS</w:t>
      </w:r>
      <w:r w:rsidRPr="003578BA">
        <w:rPr>
          <w:vertAlign w:val="superscript"/>
        </w:rPr>
        <w:t>1</w:t>
      </w:r>
    </w:p>
    <w:p w:rsidR="00515F46" w:rsidRPr="003578BA" w:rsidRDefault="00515F46" w:rsidP="00515F46">
      <w:pPr>
        <w:spacing w:line="360" w:lineRule="auto"/>
        <w:jc w:val="lowKashida"/>
        <w:rPr>
          <w:b/>
        </w:rPr>
      </w:pPr>
    </w:p>
    <w:p w:rsidR="00515F46" w:rsidRPr="003578BA" w:rsidRDefault="00515F46" w:rsidP="00515F46">
      <w:pPr>
        <w:spacing w:line="360" w:lineRule="auto"/>
        <w:jc w:val="lowKashida"/>
        <w:rPr>
          <w:b/>
        </w:rPr>
      </w:pPr>
    </w:p>
    <w:p w:rsidR="00515F46" w:rsidRPr="003578BA" w:rsidRDefault="00515F46" w:rsidP="00515F46">
      <w:pPr>
        <w:spacing w:line="360" w:lineRule="auto"/>
        <w:jc w:val="lowKashida"/>
        <w:rPr>
          <w:b/>
        </w:rPr>
      </w:pPr>
      <w:r w:rsidRPr="003578BA">
        <w:rPr>
          <w:b/>
          <w:vertAlign w:val="superscript"/>
        </w:rPr>
        <w:t>1</w:t>
      </w:r>
      <w:r w:rsidRPr="003578BA">
        <w:rPr>
          <w:b/>
        </w:rPr>
        <w:t>Gulhane Military Medical Academy, Department of Oral and Maxillofacial Surgery ANKARA/TURKIYE</w:t>
      </w:r>
    </w:p>
    <w:p w:rsidR="00515F46" w:rsidRPr="003578BA" w:rsidRDefault="00515F46" w:rsidP="00515F46">
      <w:pPr>
        <w:spacing w:line="360" w:lineRule="auto"/>
        <w:jc w:val="lowKashida"/>
        <w:rPr>
          <w:b/>
        </w:rPr>
      </w:pPr>
      <w:r w:rsidRPr="003578BA">
        <w:rPr>
          <w:b/>
          <w:vertAlign w:val="superscript"/>
        </w:rPr>
        <w:t>2</w:t>
      </w:r>
      <w:r w:rsidRPr="003578BA">
        <w:rPr>
          <w:b/>
        </w:rPr>
        <w:t>Faculty of Dentistry, Kocaeli University, KOCAELI/ TURKIYE</w:t>
      </w:r>
    </w:p>
    <w:p w:rsidR="00515F46" w:rsidRPr="003578BA" w:rsidRDefault="00515F46" w:rsidP="00515F46">
      <w:pPr>
        <w:spacing w:line="360" w:lineRule="auto"/>
        <w:jc w:val="lowKashida"/>
        <w:rPr>
          <w:b/>
        </w:rPr>
      </w:pPr>
    </w:p>
    <w:p w:rsidR="00515F46" w:rsidRPr="003578BA" w:rsidRDefault="00515F46" w:rsidP="00515F46">
      <w:pPr>
        <w:spacing w:line="360" w:lineRule="auto"/>
        <w:jc w:val="lowKashida"/>
      </w:pPr>
      <w:r w:rsidRPr="003578BA">
        <w:rPr>
          <w:b/>
        </w:rPr>
        <w:t xml:space="preserve">Conflict of Interest: </w:t>
      </w:r>
      <w:r w:rsidRPr="003578BA">
        <w:t xml:space="preserve">None  </w:t>
      </w:r>
      <w:r w:rsidRPr="003578BA">
        <w:rPr>
          <w:b/>
        </w:rPr>
        <w:t xml:space="preserve">        Funding source: </w:t>
      </w:r>
      <w:r w:rsidRPr="003578BA">
        <w:t>None</w:t>
      </w:r>
    </w:p>
    <w:p w:rsidR="00515F46" w:rsidRDefault="00515F46" w:rsidP="00515F46">
      <w:pPr>
        <w:spacing w:line="360" w:lineRule="auto"/>
        <w:jc w:val="lowKashida"/>
        <w:rPr>
          <w:b/>
        </w:rPr>
      </w:pPr>
    </w:p>
    <w:p w:rsidR="00515F46" w:rsidRPr="003578BA" w:rsidRDefault="00515F46" w:rsidP="00515F46">
      <w:pPr>
        <w:spacing w:line="360" w:lineRule="auto"/>
        <w:jc w:val="lowKashida"/>
        <w:rPr>
          <w:b/>
        </w:rPr>
      </w:pPr>
      <w:r w:rsidRPr="003578BA">
        <w:rPr>
          <w:b/>
        </w:rPr>
        <w:t>Corresponding Author:</w:t>
      </w:r>
    </w:p>
    <w:p w:rsidR="00515F46" w:rsidRPr="003578BA" w:rsidRDefault="00515F46" w:rsidP="00515F46">
      <w:pPr>
        <w:spacing w:line="360" w:lineRule="auto"/>
        <w:jc w:val="lowKashida"/>
        <w:rPr>
          <w:b/>
        </w:rPr>
      </w:pPr>
      <w:r>
        <w:rPr>
          <w:b/>
        </w:rPr>
        <w:t>Dr. Gamze ARICI</w:t>
      </w:r>
    </w:p>
    <w:p w:rsidR="00515F46" w:rsidRPr="003578BA" w:rsidRDefault="00515F46" w:rsidP="00515F46">
      <w:pPr>
        <w:spacing w:line="360" w:lineRule="auto"/>
        <w:jc w:val="lowKashida"/>
      </w:pPr>
      <w:r w:rsidRPr="003578BA">
        <w:t>Gulhane Military Medical Academy Department of Oral and Maxillofacial Surgery</w:t>
      </w:r>
    </w:p>
    <w:p w:rsidR="00515F46" w:rsidRPr="003578BA" w:rsidRDefault="00515F46" w:rsidP="00515F46">
      <w:pPr>
        <w:spacing w:line="360" w:lineRule="auto"/>
        <w:jc w:val="lowKashida"/>
      </w:pPr>
      <w:r w:rsidRPr="003578BA">
        <w:t xml:space="preserve">06018 Etlik / Ankara / Turkiye </w:t>
      </w:r>
    </w:p>
    <w:p w:rsidR="00515F46" w:rsidRPr="003578BA" w:rsidRDefault="00515F46" w:rsidP="00515F46">
      <w:pPr>
        <w:spacing w:line="360" w:lineRule="auto"/>
        <w:jc w:val="lowKashida"/>
      </w:pPr>
      <w:r w:rsidRPr="003578BA">
        <w:t xml:space="preserve">Phone: +90 312 304 14 58   </w:t>
      </w:r>
    </w:p>
    <w:p w:rsidR="00515F46" w:rsidRPr="003578BA" w:rsidRDefault="00515F46" w:rsidP="00515F46">
      <w:pPr>
        <w:spacing w:line="360" w:lineRule="auto"/>
        <w:jc w:val="lowKashida"/>
      </w:pPr>
      <w:r w:rsidRPr="003578BA">
        <w:t xml:space="preserve">Fax: +90 312 304 60 20     </w:t>
      </w:r>
    </w:p>
    <w:p w:rsidR="00515F46" w:rsidRDefault="00515F46" w:rsidP="00515F46">
      <w:pPr>
        <w:spacing w:line="360" w:lineRule="auto"/>
        <w:jc w:val="lowKashida"/>
      </w:pPr>
      <w:r>
        <w:t xml:space="preserve">e-mail: </w:t>
      </w:r>
      <w:hyperlink r:id="rId4" w:history="1">
        <w:r w:rsidRPr="00603C60">
          <w:rPr>
            <w:rStyle w:val="Kpr"/>
          </w:rPr>
          <w:t>garici@gata.edu.tr</w:t>
        </w:r>
      </w:hyperlink>
    </w:p>
    <w:p w:rsidR="00515F46" w:rsidRPr="003578BA" w:rsidRDefault="00515F46" w:rsidP="00515F46">
      <w:pPr>
        <w:spacing w:line="480" w:lineRule="auto"/>
        <w:jc w:val="lowKashida"/>
      </w:pPr>
      <w:r w:rsidRPr="003578BA">
        <w:rPr>
          <w:b/>
        </w:rPr>
        <w:t>Abstract</w:t>
      </w:r>
      <w:r w:rsidRPr="003578BA">
        <w:t xml:space="preserve"> </w:t>
      </w:r>
    </w:p>
    <w:p w:rsidR="00515F46" w:rsidRPr="003578BA" w:rsidRDefault="00515F46" w:rsidP="00515F46">
      <w:pPr>
        <w:spacing w:line="480" w:lineRule="auto"/>
        <w:jc w:val="lowKashida"/>
      </w:pPr>
      <w:r w:rsidRPr="003578BA">
        <w:t>Odontoma</w:t>
      </w:r>
      <w:r>
        <w:t xml:space="preserve"> is</w:t>
      </w:r>
      <w:r w:rsidRPr="003578BA">
        <w:t xml:space="preserve"> placed in</w:t>
      </w:r>
      <w:r>
        <w:t>to</w:t>
      </w:r>
      <w:r w:rsidRPr="003578BA">
        <w:t xml:space="preserve"> the odontogenic tumor classifications. But </w:t>
      </w:r>
      <w:r>
        <w:t xml:space="preserve">it is </w:t>
      </w:r>
      <w:r w:rsidRPr="003578BA">
        <w:t xml:space="preserve">known as </w:t>
      </w:r>
      <w:r>
        <w:t xml:space="preserve">a </w:t>
      </w:r>
      <w:r w:rsidRPr="003578BA">
        <w:t xml:space="preserve">hamartomatous lesion or </w:t>
      </w:r>
      <w:r>
        <w:t xml:space="preserve">a </w:t>
      </w:r>
      <w:r w:rsidRPr="003578BA">
        <w:t>developmental abnormalit</w:t>
      </w:r>
      <w:r>
        <w:t>y</w:t>
      </w:r>
      <w:r w:rsidRPr="003578BA">
        <w:t xml:space="preserve"> rather than </w:t>
      </w:r>
      <w:r>
        <w:t xml:space="preserve">a </w:t>
      </w:r>
      <w:r w:rsidRPr="003578BA">
        <w:t xml:space="preserve">odontogenic tumour. </w:t>
      </w:r>
      <w:r>
        <w:t>It is</w:t>
      </w:r>
      <w:r w:rsidRPr="003578BA">
        <w:t xml:space="preserve"> subclassified into 2 types: (a) compound odontoma: consisting of many little tooth like structures (denticles) (b) complex odontoma: the feature is not like a tooth but it is made of dental tissues in irregular amounts. In this paper, we present two different compound odontoma cases</w:t>
      </w:r>
      <w:r>
        <w:t xml:space="preserve"> treated by</w:t>
      </w:r>
      <w:r w:rsidRPr="003578BA">
        <w:t xml:space="preserve"> </w:t>
      </w:r>
      <w:r>
        <w:t xml:space="preserve">a </w:t>
      </w:r>
      <w:r w:rsidRPr="003578BA">
        <w:t>similar technique using “Autogenous Bone Cover</w:t>
      </w:r>
      <w:r>
        <w:t>”</w:t>
      </w:r>
      <w:r w:rsidRPr="003578BA">
        <w:t>. Very large odontomas were enucleated and surgical side were covered with autogenous bone</w:t>
      </w:r>
      <w:r>
        <w:t>s. After that,</w:t>
      </w:r>
      <w:r w:rsidRPr="003578BA">
        <w:t xml:space="preserve"> </w:t>
      </w:r>
      <w:r w:rsidRPr="003578BA">
        <w:lastRenderedPageBreak/>
        <w:t>autogenous bone</w:t>
      </w:r>
      <w:r>
        <w:t>s</w:t>
      </w:r>
      <w:r w:rsidRPr="003578BA">
        <w:t xml:space="preserve"> were fixed </w:t>
      </w:r>
      <w:r>
        <w:t>by</w:t>
      </w:r>
      <w:r w:rsidRPr="003578BA">
        <w:t xml:space="preserve"> reconstruction plate</w:t>
      </w:r>
      <w:r>
        <w:t>s and</w:t>
      </w:r>
      <w:r w:rsidRPr="003578BA">
        <w:t xml:space="preserve"> mini</w:t>
      </w:r>
      <w:r>
        <w:t xml:space="preserve"> titan</w:t>
      </w:r>
      <w:r w:rsidRPr="003578BA">
        <w:t xml:space="preserve"> screws</w:t>
      </w:r>
      <w:r>
        <w:t>,</w:t>
      </w:r>
      <w:r w:rsidRPr="003578BA">
        <w:t xml:space="preserve"> in order to avoid a possible fracture. </w:t>
      </w:r>
      <w:r>
        <w:t>A</w:t>
      </w:r>
      <w:r w:rsidRPr="003578BA">
        <w:t>fter one year</w:t>
      </w:r>
      <w:r>
        <w:t xml:space="preserve"> of</w:t>
      </w:r>
      <w:r w:rsidRPr="003578BA">
        <w:t xml:space="preserve"> follow up period</w:t>
      </w:r>
      <w:r>
        <w:t>, h</w:t>
      </w:r>
      <w:r w:rsidRPr="003578BA">
        <w:t>ealing</w:t>
      </w:r>
      <w:r>
        <w:t>s of the patients</w:t>
      </w:r>
      <w:r w:rsidRPr="003578BA">
        <w:t xml:space="preserve"> were </w:t>
      </w:r>
      <w:r>
        <w:t>uneventful.</w:t>
      </w:r>
      <w:r w:rsidRPr="003578BA">
        <w:t xml:space="preserve"> </w:t>
      </w:r>
    </w:p>
    <w:p w:rsidR="00515F46" w:rsidRPr="003578BA" w:rsidRDefault="00515F46" w:rsidP="00515F46">
      <w:pPr>
        <w:spacing w:line="480" w:lineRule="auto"/>
        <w:jc w:val="lowKashida"/>
      </w:pPr>
      <w:r w:rsidRPr="003578BA">
        <w:rPr>
          <w:b/>
        </w:rPr>
        <w:t xml:space="preserve">Key words: </w:t>
      </w:r>
      <w:r w:rsidRPr="003578BA">
        <w:t>Compound odontoma, autogenous bone cover technique, iliac graft, mandible.</w:t>
      </w:r>
    </w:p>
    <w:p w:rsidR="00515F46" w:rsidRPr="003578BA" w:rsidRDefault="00515F46" w:rsidP="00515F46">
      <w:pPr>
        <w:spacing w:line="480" w:lineRule="auto"/>
        <w:jc w:val="lowKashida"/>
        <w:rPr>
          <w:b/>
        </w:rPr>
      </w:pPr>
    </w:p>
    <w:p w:rsidR="00515F46" w:rsidRPr="003578BA" w:rsidRDefault="00515F46" w:rsidP="00515F46">
      <w:pPr>
        <w:spacing w:line="480" w:lineRule="auto"/>
        <w:jc w:val="lowKashida"/>
        <w:rPr>
          <w:b/>
        </w:rPr>
      </w:pPr>
      <w:r w:rsidRPr="003578BA">
        <w:rPr>
          <w:b/>
        </w:rPr>
        <w:t>Introduction</w:t>
      </w:r>
    </w:p>
    <w:p w:rsidR="00515F46" w:rsidRPr="003578BA" w:rsidRDefault="00515F46" w:rsidP="00515F46">
      <w:pPr>
        <w:spacing w:line="480" w:lineRule="auto"/>
        <w:jc w:val="lowKashida"/>
      </w:pPr>
      <w:r>
        <w:t>Due to its</w:t>
      </w:r>
      <w:r w:rsidRPr="003578BA">
        <w:t xml:space="preserve"> h</w:t>
      </w:r>
      <w:r>
        <w:t>istological features, odontoma is placed in</w:t>
      </w:r>
      <w:r w:rsidRPr="003578BA">
        <w:t xml:space="preserve">to the odontogenic tumor classifications. </w:t>
      </w:r>
      <w:r>
        <w:t>However,</w:t>
      </w:r>
      <w:r w:rsidRPr="003578BA">
        <w:t xml:space="preserve"> </w:t>
      </w:r>
      <w:r>
        <w:t xml:space="preserve">it is </w:t>
      </w:r>
      <w:r w:rsidRPr="003578BA">
        <w:t xml:space="preserve">known as </w:t>
      </w:r>
      <w:r>
        <w:t>a hamartomatous lesion</w:t>
      </w:r>
      <w:r w:rsidRPr="003578BA">
        <w:t xml:space="preserve"> or </w:t>
      </w:r>
      <w:r>
        <w:t xml:space="preserve">a </w:t>
      </w:r>
      <w:r w:rsidRPr="003578BA">
        <w:t>developmental abn</w:t>
      </w:r>
      <w:r>
        <w:t>ormality</w:t>
      </w:r>
      <w:r w:rsidRPr="003578BA">
        <w:t xml:space="preserve"> rather than </w:t>
      </w:r>
      <w:r>
        <w:t>a odontogenic tumour w</w:t>
      </w:r>
      <w:r w:rsidRPr="003578BA">
        <w:t xml:space="preserve">hich is a fully developed lesions consists of enamel, dentin, tooth pulp and cementum (1). </w:t>
      </w:r>
      <w:r>
        <w:rPr>
          <w:color w:val="000000"/>
        </w:rPr>
        <w:t>Odontoma</w:t>
      </w:r>
      <w:r w:rsidRPr="003578BA">
        <w:rPr>
          <w:color w:val="000000"/>
        </w:rPr>
        <w:t xml:space="preserve"> constitute</w:t>
      </w:r>
      <w:r>
        <w:rPr>
          <w:color w:val="000000"/>
        </w:rPr>
        <w:t>s</w:t>
      </w:r>
      <w:r w:rsidRPr="003578BA">
        <w:rPr>
          <w:color w:val="000000"/>
        </w:rPr>
        <w:t xml:space="preserve"> 22 % of all odontogenic tumors (2).</w:t>
      </w:r>
      <w:r w:rsidRPr="003578BA">
        <w:rPr>
          <w:color w:val="FF0000"/>
        </w:rPr>
        <w:t xml:space="preserve"> </w:t>
      </w:r>
      <w:r w:rsidRPr="003578BA">
        <w:rPr>
          <w:color w:val="000000"/>
        </w:rPr>
        <w:t>According to the WHO classification (2005) they are subclassified into 2 types: (a) compound odontoma: consisting of many little tooth like structures (denticles) (b) complex odontoma: the feature is not like a tooth but it is made of dental tissues in irregular amounts (3). Compound odontoma: mostly occures at anter</w:t>
      </w:r>
      <w:r>
        <w:rPr>
          <w:color w:val="000000"/>
        </w:rPr>
        <w:t>ior maxilla, where</w:t>
      </w:r>
      <w:r w:rsidRPr="003578BA">
        <w:rPr>
          <w:color w:val="000000"/>
        </w:rPr>
        <w:t>as the complex odontoma has a tendency to occur in the posterior mandible (4).</w:t>
      </w:r>
    </w:p>
    <w:p w:rsidR="00515F46" w:rsidRPr="003578BA" w:rsidRDefault="00515F46" w:rsidP="00515F46">
      <w:pPr>
        <w:autoSpaceDE w:val="0"/>
        <w:autoSpaceDN w:val="0"/>
        <w:adjustRightInd w:val="0"/>
        <w:spacing w:line="480" w:lineRule="auto"/>
        <w:jc w:val="lowKashida"/>
      </w:pPr>
      <w:r w:rsidRPr="003578BA">
        <w:t>Odontomas are usually asympthomatic</w:t>
      </w:r>
      <w:r>
        <w:t>.</w:t>
      </w:r>
      <w:r w:rsidRPr="003578BA">
        <w:t xml:space="preserve"> </w:t>
      </w:r>
      <w:r>
        <w:t>There</w:t>
      </w:r>
      <w:r w:rsidRPr="003578BA">
        <w:t>for</w:t>
      </w:r>
      <w:r>
        <w:t>e,</w:t>
      </w:r>
      <w:r w:rsidRPr="003578BA">
        <w:t xml:space="preserve"> it can be diagnosed accidentaly by</w:t>
      </w:r>
      <w:r>
        <w:t xml:space="preserve"> a</w:t>
      </w:r>
      <w:r w:rsidRPr="003578BA">
        <w:t xml:space="preserve"> radiography. Enucleation is the first choice of</w:t>
      </w:r>
      <w:r>
        <w:t xml:space="preserve"> </w:t>
      </w:r>
      <w:r w:rsidRPr="003578BA">
        <w:t>treatment</w:t>
      </w:r>
      <w:r>
        <w:t>.</w:t>
      </w:r>
      <w:r w:rsidRPr="003578BA">
        <w:t xml:space="preserve"> </w:t>
      </w:r>
      <w:r>
        <w:t>On the other hand,</w:t>
      </w:r>
      <w:r w:rsidRPr="003578BA">
        <w:t xml:space="preserve"> if the lesion is large </w:t>
      </w:r>
      <w:r>
        <w:t>and/</w:t>
      </w:r>
      <w:r w:rsidRPr="003578BA">
        <w:t>or very close to the anatomic landmarks, enucleation may result in potential fractures and</w:t>
      </w:r>
      <w:r>
        <w:t>/or</w:t>
      </w:r>
      <w:r w:rsidRPr="003578BA">
        <w:t xml:space="preserve"> damages to </w:t>
      </w:r>
      <w:r>
        <w:t xml:space="preserve">the </w:t>
      </w:r>
      <w:r w:rsidRPr="003578BA">
        <w:t>anatomic landmarks (5). In this case report</w:t>
      </w:r>
      <w:r>
        <w:t>,</w:t>
      </w:r>
      <w:r w:rsidRPr="003578BA">
        <w:t xml:space="preserve"> we are </w:t>
      </w:r>
      <w:r>
        <w:t>presenting</w:t>
      </w:r>
      <w:r w:rsidRPr="003578BA">
        <w:t xml:space="preserve"> our surgica</w:t>
      </w:r>
      <w:r>
        <w:t xml:space="preserve">l approach for the treatment of two different </w:t>
      </w:r>
      <w:r w:rsidRPr="003578BA">
        <w:t>patients</w:t>
      </w:r>
      <w:r>
        <w:t xml:space="preserve"> with compound odontoma</w:t>
      </w:r>
      <w:r w:rsidRPr="003578BA">
        <w:t xml:space="preserve"> </w:t>
      </w:r>
      <w:r>
        <w:t xml:space="preserve">showing </w:t>
      </w:r>
      <w:r w:rsidRPr="003578BA">
        <w:t>similar localization</w:t>
      </w:r>
      <w:r>
        <w:t>. Thereby, we</w:t>
      </w:r>
      <w:r w:rsidRPr="003578BA">
        <w:t xml:space="preserve"> introduce a reconstruction method </w:t>
      </w:r>
      <w:r>
        <w:t>which could</w:t>
      </w:r>
      <w:r w:rsidRPr="003578BA">
        <w:t xml:space="preserve"> be used as an alternative.</w:t>
      </w:r>
    </w:p>
    <w:p w:rsidR="00515F46" w:rsidRDefault="00515F46" w:rsidP="00515F46">
      <w:pPr>
        <w:autoSpaceDE w:val="0"/>
        <w:autoSpaceDN w:val="0"/>
        <w:adjustRightInd w:val="0"/>
        <w:spacing w:line="480" w:lineRule="auto"/>
        <w:jc w:val="lowKashida"/>
        <w:rPr>
          <w:b/>
        </w:rPr>
      </w:pPr>
    </w:p>
    <w:p w:rsidR="00515F46" w:rsidRDefault="00515F46" w:rsidP="00515F46">
      <w:pPr>
        <w:autoSpaceDE w:val="0"/>
        <w:autoSpaceDN w:val="0"/>
        <w:adjustRightInd w:val="0"/>
        <w:spacing w:line="480" w:lineRule="auto"/>
        <w:jc w:val="lowKashida"/>
        <w:rPr>
          <w:b/>
        </w:rPr>
      </w:pPr>
    </w:p>
    <w:p w:rsidR="00515F46" w:rsidRDefault="00515F46" w:rsidP="00515F46">
      <w:pPr>
        <w:autoSpaceDE w:val="0"/>
        <w:autoSpaceDN w:val="0"/>
        <w:adjustRightInd w:val="0"/>
        <w:spacing w:line="480" w:lineRule="auto"/>
        <w:jc w:val="lowKashida"/>
        <w:rPr>
          <w:b/>
        </w:rPr>
      </w:pPr>
    </w:p>
    <w:p w:rsidR="00515F46" w:rsidRPr="003578BA" w:rsidRDefault="00515F46" w:rsidP="00515F46">
      <w:pPr>
        <w:autoSpaceDE w:val="0"/>
        <w:autoSpaceDN w:val="0"/>
        <w:adjustRightInd w:val="0"/>
        <w:spacing w:line="480" w:lineRule="auto"/>
        <w:jc w:val="lowKashida"/>
        <w:rPr>
          <w:b/>
        </w:rPr>
      </w:pPr>
      <w:r w:rsidRPr="003578BA">
        <w:rPr>
          <w:b/>
        </w:rPr>
        <w:lastRenderedPageBreak/>
        <w:t>Case Reports</w:t>
      </w:r>
    </w:p>
    <w:p w:rsidR="00515F46" w:rsidRPr="003578BA" w:rsidRDefault="00515F46" w:rsidP="00515F46">
      <w:pPr>
        <w:autoSpaceDE w:val="0"/>
        <w:autoSpaceDN w:val="0"/>
        <w:adjustRightInd w:val="0"/>
        <w:spacing w:line="480" w:lineRule="auto"/>
        <w:jc w:val="lowKashida"/>
        <w:rPr>
          <w:b/>
          <w:i/>
        </w:rPr>
      </w:pPr>
      <w:r w:rsidRPr="003578BA">
        <w:rPr>
          <w:b/>
        </w:rPr>
        <w:t>Case 1</w:t>
      </w:r>
    </w:p>
    <w:p w:rsidR="00515F46" w:rsidRPr="003578BA" w:rsidRDefault="00515F46" w:rsidP="00515F46">
      <w:pPr>
        <w:spacing w:line="480" w:lineRule="auto"/>
        <w:jc w:val="lowKashida"/>
        <w:rPr>
          <w:b/>
          <w:i/>
        </w:rPr>
      </w:pPr>
      <w:r w:rsidRPr="003578BA">
        <w:t xml:space="preserve">A 22-year-old male patient referred </w:t>
      </w:r>
      <w:r>
        <w:t>to our department</w:t>
      </w:r>
      <w:r w:rsidRPr="003578BA">
        <w:t xml:space="preserve"> with a complain</w:t>
      </w:r>
      <w:r>
        <w:t>t</w:t>
      </w:r>
      <w:r w:rsidRPr="003578BA">
        <w:t>s of</w:t>
      </w:r>
      <w:r>
        <w:t xml:space="preserve"> the presence of a lesion at his</w:t>
      </w:r>
      <w:r w:rsidRPr="003578BA">
        <w:t xml:space="preserve"> anterior mandibular region</w:t>
      </w:r>
      <w:r>
        <w:t>,</w:t>
      </w:r>
      <w:r w:rsidRPr="003578BA">
        <w:t xml:space="preserve"> which was diagnosed at another dental center during a routine dental radyography. He </w:t>
      </w:r>
      <w:r>
        <w:t>didn’t have any</w:t>
      </w:r>
      <w:r w:rsidRPr="003578BA">
        <w:t xml:space="preserve"> complain</w:t>
      </w:r>
      <w:r>
        <w:t>t about</w:t>
      </w:r>
      <w:r w:rsidRPr="003578BA">
        <w:t xml:space="preserve"> pain or any other relevant symptoms. The clinical examination </w:t>
      </w:r>
      <w:r>
        <w:t>didn’t reveal</w:t>
      </w:r>
      <w:r w:rsidRPr="003578BA">
        <w:t xml:space="preserve"> </w:t>
      </w:r>
      <w:r>
        <w:t>any abnormality</w:t>
      </w:r>
      <w:r w:rsidRPr="003578BA">
        <w:t xml:space="preserve"> except a decid</w:t>
      </w:r>
      <w:r>
        <w:t xml:space="preserve">uous canine tooth on the mandible </w:t>
      </w:r>
      <w:r w:rsidRPr="003578BA">
        <w:t>and simple crowding in the ma</w:t>
      </w:r>
      <w:r>
        <w:t>ndibular anterior teeth (Figure</w:t>
      </w:r>
      <w:r w:rsidRPr="003578BA">
        <w:t xml:space="preserve"> 1).</w:t>
      </w:r>
    </w:p>
    <w:p w:rsidR="00515F46" w:rsidRPr="003578BA" w:rsidRDefault="00515F46" w:rsidP="00515F46">
      <w:pPr>
        <w:autoSpaceDE w:val="0"/>
        <w:autoSpaceDN w:val="0"/>
        <w:adjustRightInd w:val="0"/>
        <w:spacing w:line="480" w:lineRule="auto"/>
        <w:jc w:val="lowKashida"/>
      </w:pPr>
      <w:r>
        <w:t>Orthopantomographic and computed dental tomographic views of the patient showed</w:t>
      </w:r>
      <w:r w:rsidRPr="003578BA">
        <w:t xml:space="preserve"> that </w:t>
      </w:r>
      <w:r>
        <w:t>a circular radiopaque lesions occupying</w:t>
      </w:r>
      <w:r w:rsidRPr="003578BA">
        <w:t xml:space="preserve"> the intraosseous region from the apex of the left first mandibular incisor to </w:t>
      </w:r>
      <w:r>
        <w:t xml:space="preserve">the </w:t>
      </w:r>
      <w:r w:rsidRPr="003578BA">
        <w:t>left first ma</w:t>
      </w:r>
      <w:r>
        <w:t>ndibular premolar tooth (Figure</w:t>
      </w:r>
      <w:r w:rsidRPr="003578BA">
        <w:t xml:space="preserve"> 2). The impacted left mandibular canine and su</w:t>
      </w:r>
      <w:r>
        <w:t>pernumerary teeth were laying</w:t>
      </w:r>
      <w:r w:rsidRPr="003578BA">
        <w:t xml:space="preserve"> </w:t>
      </w:r>
      <w:r>
        <w:t>below</w:t>
      </w:r>
      <w:r w:rsidRPr="003578BA">
        <w:t xml:space="preserve"> the lesion on the basis of the mandible. </w:t>
      </w:r>
    </w:p>
    <w:p w:rsidR="00515F46" w:rsidRPr="003578BA" w:rsidRDefault="00515F46" w:rsidP="00515F46">
      <w:pPr>
        <w:autoSpaceDE w:val="0"/>
        <w:autoSpaceDN w:val="0"/>
        <w:adjustRightInd w:val="0"/>
        <w:spacing w:line="480" w:lineRule="auto"/>
        <w:jc w:val="lowKashida"/>
      </w:pPr>
      <w:r w:rsidRPr="008C309A">
        <w:t>The lesion was involving many tooth-like structures with varying radiodensities resembling enamel, dentin and cementum.</w:t>
      </w:r>
      <w:r>
        <w:t xml:space="preserve"> </w:t>
      </w:r>
      <w:r w:rsidRPr="003578BA">
        <w:t>According to the results of the clinical and radiological evaulation our primary diagnosis was odontoma. We planned to enucleate the lesion</w:t>
      </w:r>
      <w:r>
        <w:t>s</w:t>
      </w:r>
      <w:r w:rsidRPr="003578BA">
        <w:t xml:space="preserve"> under general anesthesia. Endodontic treatment was performed to 31th, 32th, 73th and 34th teeth. After providing general anesthesia, local anesthesia</w:t>
      </w:r>
      <w:r>
        <w:t xml:space="preserve"> </w:t>
      </w:r>
      <w:r w:rsidRPr="00A807AE">
        <w:t>(articaine containing 1:100.000 epinephrine, Ultracaine DS, Aventis, Turkey) was applied to the mandible as well, for the purpose of vasoconstriction. A</w:t>
      </w:r>
      <w:r w:rsidRPr="003578BA">
        <w:t xml:space="preserve"> full-thickness mucoperiosteal flap and round shaped bone window was elevated in or</w:t>
      </w:r>
      <w:r>
        <w:t>der to reach the lesion (Figure</w:t>
      </w:r>
      <w:r w:rsidRPr="003578BA">
        <w:t xml:space="preserve"> 3). Surgical excision of the lesion was performed</w:t>
      </w:r>
      <w:r>
        <w:t>.</w:t>
      </w:r>
      <w:r w:rsidRPr="003578BA">
        <w:t xml:space="preserve"> </w:t>
      </w:r>
      <w:r>
        <w:t>T</w:t>
      </w:r>
      <w:r w:rsidRPr="003578BA">
        <w:t xml:space="preserve">he impacted canine and supernumerary teeth were </w:t>
      </w:r>
      <w:r>
        <w:t xml:space="preserve">also </w:t>
      </w:r>
      <w:r w:rsidRPr="003578BA">
        <w:t xml:space="preserve">enucleated. The crista iliac bone </w:t>
      </w:r>
      <w:r>
        <w:t xml:space="preserve">was </w:t>
      </w:r>
      <w:r w:rsidRPr="003578BA">
        <w:t>used as autogenous graft</w:t>
      </w:r>
      <w:r>
        <w:t xml:space="preserve">. An iliac bone graft </w:t>
      </w:r>
      <w:r w:rsidRPr="003578BA">
        <w:t>harvested from the left side of the</w:t>
      </w:r>
      <w:r>
        <w:t xml:space="preserve"> patient was used to cover and fill up</w:t>
      </w:r>
      <w:r w:rsidRPr="003578BA">
        <w:t xml:space="preserve"> the cavity of the lesion</w:t>
      </w:r>
      <w:r>
        <w:t xml:space="preserve"> enucleated. The graf</w:t>
      </w:r>
      <w:r w:rsidRPr="00AD0337">
        <w:t>t was adjusted by cuttin</w:t>
      </w:r>
      <w:r>
        <w:t xml:space="preserve">g, in order to fill the cavity (Figure </w:t>
      </w:r>
      <w:r w:rsidRPr="003578BA">
        <w:t xml:space="preserve">4). </w:t>
      </w:r>
      <w:r>
        <w:t>Then, the graft was</w:t>
      </w:r>
      <w:r w:rsidRPr="003578BA">
        <w:t xml:space="preserve"> fixed </w:t>
      </w:r>
      <w:r>
        <w:t xml:space="preserve">by </w:t>
      </w:r>
      <w:r w:rsidRPr="003578BA">
        <w:t xml:space="preserve">a reconstruction plate </w:t>
      </w:r>
      <w:r>
        <w:t>and</w:t>
      </w:r>
      <w:r w:rsidRPr="003578BA">
        <w:t xml:space="preserve"> mini </w:t>
      </w:r>
      <w:r>
        <w:t xml:space="preserve">titan </w:t>
      </w:r>
      <w:r w:rsidRPr="003578BA">
        <w:t>screws</w:t>
      </w:r>
      <w:r>
        <w:t>, in order</w:t>
      </w:r>
      <w:r w:rsidRPr="003578BA">
        <w:t xml:space="preserve"> to av</w:t>
      </w:r>
      <w:r>
        <w:t xml:space="preserve">oid a possible fracture (Figure </w:t>
      </w:r>
      <w:r w:rsidRPr="003578BA">
        <w:t xml:space="preserve">5). </w:t>
      </w:r>
      <w:r w:rsidRPr="003578BA">
        <w:lastRenderedPageBreak/>
        <w:t>Bleeding was contro</w:t>
      </w:r>
      <w:r>
        <w:t>l</w:t>
      </w:r>
      <w:r w:rsidRPr="003578BA">
        <w:t>led and the wound was closed primarily. Numerous denticles were enucleated with their fibrous capsule</w:t>
      </w:r>
      <w:r>
        <w:t>s (Figure</w:t>
      </w:r>
      <w:r w:rsidRPr="003578BA">
        <w:t xml:space="preserve"> 6). </w:t>
      </w:r>
      <w:r>
        <w:t xml:space="preserve">The diagnosis of </w:t>
      </w:r>
      <w:r w:rsidRPr="003578BA">
        <w:t>compound odontoma</w:t>
      </w:r>
      <w:r>
        <w:t xml:space="preserve"> was also </w:t>
      </w:r>
      <w:r w:rsidRPr="003578BA">
        <w:t xml:space="preserve">confirmed </w:t>
      </w:r>
      <w:r>
        <w:t>by pathology.</w:t>
      </w:r>
      <w:r w:rsidRPr="003578BA">
        <w:t xml:space="preserve"> The patient </w:t>
      </w:r>
      <w:r>
        <w:t xml:space="preserve">was </w:t>
      </w:r>
      <w:r w:rsidRPr="003578BA">
        <w:t xml:space="preserve">discharged two weeks after surgery. </w:t>
      </w:r>
      <w:r w:rsidRPr="00646D3E">
        <w:t>At the end of one year follow up period, healing process of the patient was uneventful</w:t>
      </w:r>
      <w:r>
        <w:t xml:space="preserve"> (Figure </w:t>
      </w:r>
      <w:r w:rsidRPr="003578BA">
        <w:t>7).</w:t>
      </w:r>
    </w:p>
    <w:p w:rsidR="00515F46" w:rsidRPr="003578BA" w:rsidRDefault="00515F46" w:rsidP="00515F46">
      <w:pPr>
        <w:autoSpaceDE w:val="0"/>
        <w:autoSpaceDN w:val="0"/>
        <w:adjustRightInd w:val="0"/>
        <w:spacing w:line="480" w:lineRule="auto"/>
        <w:jc w:val="lowKashida"/>
        <w:rPr>
          <w:b/>
        </w:rPr>
      </w:pPr>
      <w:r w:rsidRPr="003578BA">
        <w:rPr>
          <w:b/>
        </w:rPr>
        <w:t>Case 2</w:t>
      </w:r>
    </w:p>
    <w:p w:rsidR="00515F46" w:rsidRPr="003578BA" w:rsidRDefault="00515F46" w:rsidP="00515F46">
      <w:pPr>
        <w:autoSpaceDE w:val="0"/>
        <w:autoSpaceDN w:val="0"/>
        <w:adjustRightInd w:val="0"/>
        <w:spacing w:line="480" w:lineRule="auto"/>
        <w:jc w:val="lowKashida"/>
      </w:pPr>
      <w:r w:rsidRPr="003578BA">
        <w:t xml:space="preserve">A 27 year-old male patient referred to </w:t>
      </w:r>
      <w:r>
        <w:t>our department</w:t>
      </w:r>
      <w:r w:rsidRPr="003578BA">
        <w:t xml:space="preserve"> with a complain</w:t>
      </w:r>
      <w:r>
        <w:t>t</w:t>
      </w:r>
      <w:r w:rsidRPr="003578BA">
        <w:t xml:space="preserve"> of swelling </w:t>
      </w:r>
      <w:r>
        <w:t>on his</w:t>
      </w:r>
      <w:r w:rsidRPr="003578BA">
        <w:t xml:space="preserve"> mandible. </w:t>
      </w:r>
      <w:r>
        <w:t>Following</w:t>
      </w:r>
      <w:r w:rsidRPr="003578BA">
        <w:t xml:space="preserve"> </w:t>
      </w:r>
      <w:r>
        <w:t xml:space="preserve">the </w:t>
      </w:r>
      <w:r w:rsidRPr="003578BA">
        <w:t>clinical and radiological examination</w:t>
      </w:r>
      <w:r>
        <w:t>,</w:t>
      </w:r>
      <w:r w:rsidRPr="003578BA">
        <w:t xml:space="preserve"> our primary diagnosis was odontoma</w:t>
      </w:r>
      <w:r>
        <w:t>,</w:t>
      </w:r>
      <w:r w:rsidRPr="003578BA">
        <w:t xml:space="preserve"> and we planned to enucleate the lesion under general anesthesia (Figur</w:t>
      </w:r>
      <w:r>
        <w:t>e</w:t>
      </w:r>
      <w:r w:rsidRPr="003578BA">
        <w:t xml:space="preserve"> 8). Then, </w:t>
      </w:r>
      <w:r>
        <w:t>a cone beam computerized tomography (</w:t>
      </w:r>
      <w:r w:rsidRPr="003578BA">
        <w:t>CBCT</w:t>
      </w:r>
      <w:r>
        <w:t>)</w:t>
      </w:r>
      <w:r w:rsidRPr="003578BA">
        <w:t xml:space="preserve"> was taken to evaluate the</w:t>
      </w:r>
      <w:r>
        <w:t xml:space="preserve"> lesion comprehensively (Figure</w:t>
      </w:r>
      <w:r w:rsidRPr="003578BA">
        <w:t xml:space="preserve"> 9). Endodontic treatment</w:t>
      </w:r>
      <w:r>
        <w:t>s were</w:t>
      </w:r>
      <w:r w:rsidRPr="003578BA">
        <w:t xml:space="preserve"> performed to </w:t>
      </w:r>
      <w:r>
        <w:t xml:space="preserve">his </w:t>
      </w:r>
      <w:r w:rsidRPr="003578BA">
        <w:t>mandibular incisors (one of them was missing). After providing general anesthesia</w:t>
      </w:r>
      <w:r w:rsidRPr="00DD4030">
        <w:t>, for providing vasoconstriction, local anesthesia (articaine containing 1:100.000 epinephrine, Ultracaine DS, Aventis, Turkey) was applied</w:t>
      </w:r>
      <w:r w:rsidRPr="003578BA">
        <w:t xml:space="preserve"> to the mandible as well</w:t>
      </w:r>
      <w:r>
        <w:t xml:space="preserve">. </w:t>
      </w:r>
      <w:r w:rsidRPr="003578BA">
        <w:t xml:space="preserve">A full-thickness mucoperiosteal flap was elevated. A reconstruction plate was adapted </w:t>
      </w:r>
      <w:r>
        <w:t>to</w:t>
      </w:r>
      <w:r w:rsidRPr="003578BA">
        <w:t xml:space="preserve"> the operation si</w:t>
      </w:r>
      <w:r>
        <w:t>te. We made a square shaped (2</w:t>
      </w:r>
      <w:r w:rsidRPr="003578BA">
        <w:t>x2cm in size) bone incision using burs</w:t>
      </w:r>
      <w:r>
        <w:t>. Then,</w:t>
      </w:r>
      <w:r w:rsidRPr="003578BA">
        <w:t xml:space="preserve"> </w:t>
      </w:r>
      <w:r>
        <w:t>we removed that</w:t>
      </w:r>
      <w:r w:rsidRPr="003578BA">
        <w:t xml:space="preserve"> </w:t>
      </w:r>
      <w:r>
        <w:t>compact bone layer</w:t>
      </w:r>
      <w:r w:rsidRPr="003578BA">
        <w:t xml:space="preserve"> carefully. Thus</w:t>
      </w:r>
      <w:r>
        <w:t>,</w:t>
      </w:r>
      <w:r w:rsidRPr="003578BA">
        <w:t xml:space="preserve"> while providing an access to the lesion</w:t>
      </w:r>
      <w:r>
        <w:t>,</w:t>
      </w:r>
      <w:r w:rsidRPr="003578BA">
        <w:t xml:space="preserve"> we </w:t>
      </w:r>
      <w:r>
        <w:t>obtained</w:t>
      </w:r>
      <w:r w:rsidRPr="003578BA">
        <w:t xml:space="preserve"> an autogenous bone graft</w:t>
      </w:r>
      <w:r>
        <w:t xml:space="preserve"> to cover the cavity of the lesion enucleated</w:t>
      </w:r>
      <w:r w:rsidRPr="003578BA">
        <w:t>. Surgical excision of the lesion</w:t>
      </w:r>
      <w:r>
        <w:t>s were performed (Figure</w:t>
      </w:r>
      <w:r w:rsidRPr="003578BA">
        <w:t xml:space="preserve"> 10). We fixed the autogenous</w:t>
      </w:r>
      <w:r>
        <w:t xml:space="preserve"> bone</w:t>
      </w:r>
      <w:r w:rsidRPr="003578BA">
        <w:t xml:space="preserve"> graft </w:t>
      </w:r>
      <w:r>
        <w:t>with a</w:t>
      </w:r>
      <w:r w:rsidRPr="003578BA">
        <w:t xml:space="preserve"> reconstruction plate and mini</w:t>
      </w:r>
      <w:r>
        <w:t xml:space="preserve"> titan screws (Figure</w:t>
      </w:r>
      <w:r w:rsidRPr="003578BA">
        <w:t xml:space="preserve"> 11). Bleeding was control</w:t>
      </w:r>
      <w:r>
        <w:t>l</w:t>
      </w:r>
      <w:r w:rsidRPr="003578BA">
        <w:t xml:space="preserve">ed and the wound was closed primarily. The biopsi specimen was sent for histopathological examination. </w:t>
      </w:r>
      <w:r>
        <w:t>The diagnosis of</w:t>
      </w:r>
      <w:r w:rsidRPr="003578BA">
        <w:t xml:space="preserve"> compound odontoma</w:t>
      </w:r>
      <w:r w:rsidRPr="0009563E">
        <w:t xml:space="preserve"> </w:t>
      </w:r>
      <w:r w:rsidRPr="003578BA">
        <w:t>was</w:t>
      </w:r>
      <w:r>
        <w:t xml:space="preserve"> also confirmed by pathology.</w:t>
      </w:r>
      <w:r w:rsidRPr="003578BA">
        <w:t xml:space="preserve">. The patient </w:t>
      </w:r>
      <w:r>
        <w:t xml:space="preserve">was </w:t>
      </w:r>
      <w:r w:rsidRPr="003578BA">
        <w:t xml:space="preserve">discharged one week after surgery. </w:t>
      </w:r>
      <w:r w:rsidRPr="00181EDB">
        <w:t>At the end of 9 months follow up period, healing process of the patient was uneventful</w:t>
      </w:r>
      <w:r w:rsidRPr="003578BA">
        <w:t xml:space="preserve"> </w:t>
      </w:r>
      <w:r>
        <w:t xml:space="preserve">(Figure </w:t>
      </w:r>
      <w:r w:rsidRPr="003578BA">
        <w:t>12).</w:t>
      </w:r>
    </w:p>
    <w:p w:rsidR="00515F46" w:rsidRPr="003578BA" w:rsidRDefault="00515F46" w:rsidP="00515F46">
      <w:pPr>
        <w:autoSpaceDE w:val="0"/>
        <w:autoSpaceDN w:val="0"/>
        <w:adjustRightInd w:val="0"/>
        <w:spacing w:line="480" w:lineRule="auto"/>
        <w:jc w:val="lowKashida"/>
        <w:rPr>
          <w:b/>
        </w:rPr>
      </w:pPr>
      <w:r w:rsidRPr="003578BA">
        <w:rPr>
          <w:b/>
        </w:rPr>
        <w:t>Discussion</w:t>
      </w:r>
    </w:p>
    <w:p w:rsidR="00515F46" w:rsidRPr="003578BA" w:rsidRDefault="00515F46" w:rsidP="00515F46">
      <w:pPr>
        <w:spacing w:line="480" w:lineRule="auto"/>
        <w:jc w:val="lowKashida"/>
      </w:pPr>
      <w:r>
        <w:t>In general, odontoma</w:t>
      </w:r>
      <w:r w:rsidRPr="003578BA">
        <w:t xml:space="preserve"> </w:t>
      </w:r>
      <w:r>
        <w:t>is</w:t>
      </w:r>
      <w:r w:rsidRPr="003578BA">
        <w:t xml:space="preserve"> usually asymptomatic</w:t>
      </w:r>
      <w:r>
        <w:t>,</w:t>
      </w:r>
      <w:r w:rsidRPr="003578BA">
        <w:t xml:space="preserve"> and </w:t>
      </w:r>
      <w:r>
        <w:t xml:space="preserve">it is </w:t>
      </w:r>
      <w:r w:rsidRPr="003578BA">
        <w:t>diagnosed incidentally during routine dental radiograph</w:t>
      </w:r>
      <w:r>
        <w:t xml:space="preserve">ical examinations </w:t>
      </w:r>
      <w:r w:rsidRPr="003578BA">
        <w:t>(5)</w:t>
      </w:r>
      <w:r>
        <w:t xml:space="preserve">. </w:t>
      </w:r>
      <w:r w:rsidRPr="003578BA">
        <w:t xml:space="preserve">But they can grow up to very large sizes in unusual </w:t>
      </w:r>
      <w:r w:rsidRPr="003578BA">
        <w:lastRenderedPageBreak/>
        <w:t>dir</w:t>
      </w:r>
      <w:r>
        <w:t>ections.</w:t>
      </w:r>
      <w:r w:rsidRPr="003578BA">
        <w:t xml:space="preserve"> </w:t>
      </w:r>
      <w:r>
        <w:t xml:space="preserve">And also, they can </w:t>
      </w:r>
      <w:r w:rsidRPr="003578BA">
        <w:t>displace or prevent eruption of teeth</w:t>
      </w:r>
      <w:r>
        <w:t>,</w:t>
      </w:r>
      <w:r w:rsidRPr="003578BA">
        <w:t xml:space="preserve"> and cause cystic transformation (6). Therefore, the lesion is usually treated by total excision</w:t>
      </w:r>
      <w:r>
        <w:t>,</w:t>
      </w:r>
      <w:r w:rsidRPr="003578BA">
        <w:t xml:space="preserve"> and there</w:t>
      </w:r>
      <w:r>
        <w:t xml:space="preserve"> is very little chance of occurre</w:t>
      </w:r>
      <w:r w:rsidRPr="003578BA">
        <w:t xml:space="preserve">nce. Enucleation of the small or average size lesions can provide complete healing without </w:t>
      </w:r>
      <w:r>
        <w:t xml:space="preserve">causing </w:t>
      </w:r>
      <w:r w:rsidRPr="003578BA">
        <w:t>any sequelae</w:t>
      </w:r>
      <w:r>
        <w:t>.</w:t>
      </w:r>
      <w:r w:rsidRPr="003578BA">
        <w:t xml:space="preserve"> </w:t>
      </w:r>
      <w:r>
        <w:t>W</w:t>
      </w:r>
      <w:r w:rsidRPr="003578BA">
        <w:t>hereas</w:t>
      </w:r>
      <w:r>
        <w:t>,</w:t>
      </w:r>
      <w:r w:rsidRPr="003578BA">
        <w:t xml:space="preserve"> it may result in potential fractures and</w:t>
      </w:r>
      <w:r>
        <w:t>/or</w:t>
      </w:r>
      <w:r w:rsidRPr="003578BA">
        <w:t xml:space="preserve"> damage to </w:t>
      </w:r>
      <w:r>
        <w:t xml:space="preserve">the </w:t>
      </w:r>
      <w:r w:rsidRPr="003578BA">
        <w:t>anatomic structures</w:t>
      </w:r>
      <w:r>
        <w:t>,</w:t>
      </w:r>
      <w:r w:rsidRPr="003578BA">
        <w:t xml:space="preserve"> if the odontoma is very large in</w:t>
      </w:r>
      <w:r>
        <w:t xml:space="preserve"> </w:t>
      </w:r>
      <w:r w:rsidRPr="003578BA">
        <w:t xml:space="preserve">size. In the literature, there are publications </w:t>
      </w:r>
      <w:r>
        <w:t>reporting the</w:t>
      </w:r>
      <w:r w:rsidRPr="003578BA">
        <w:t xml:space="preserve"> treatment alternatives to avoid such problems. Erdoğan et al. managed a case in which the compound odontoma involved the </w:t>
      </w:r>
      <w:r>
        <w:t>four quadrant of the jaws. O</w:t>
      </w:r>
      <w:r w:rsidRPr="003578BA">
        <w:t>nly the part of the odontomas penetrating</w:t>
      </w:r>
      <w:r>
        <w:t xml:space="preserve"> the</w:t>
      </w:r>
      <w:r w:rsidRPr="003578BA">
        <w:t xml:space="preserve"> oral mucosa </w:t>
      </w:r>
      <w:r>
        <w:t xml:space="preserve">was </w:t>
      </w:r>
      <w:r w:rsidRPr="003578BA">
        <w:t>removed</w:t>
      </w:r>
      <w:r>
        <w:t>,</w:t>
      </w:r>
      <w:r w:rsidRPr="003578BA">
        <w:t xml:space="preserve"> considering </w:t>
      </w:r>
      <w:r>
        <w:t xml:space="preserve">the </w:t>
      </w:r>
      <w:r w:rsidRPr="003578BA">
        <w:t>general healt</w:t>
      </w:r>
      <w:r>
        <w:t>h status of the patient,</w:t>
      </w:r>
      <w:r w:rsidRPr="003578BA">
        <w:t xml:space="preserve"> </w:t>
      </w:r>
      <w:r>
        <w:t xml:space="preserve">and </w:t>
      </w:r>
      <w:r w:rsidRPr="003578BA">
        <w:t>the</w:t>
      </w:r>
      <w:r>
        <w:t xml:space="preserve"> lesion’s </w:t>
      </w:r>
      <w:r w:rsidRPr="003578BA">
        <w:t xml:space="preserve"> size and </w:t>
      </w:r>
      <w:r>
        <w:t>localization</w:t>
      </w:r>
      <w:r w:rsidRPr="003578BA">
        <w:t xml:space="preserve"> (5). </w:t>
      </w:r>
      <w:r w:rsidRPr="00626FA2">
        <w:t xml:space="preserve">Arunkumar et al. used a palatal island flap to eliminate the dehiscence occured after enucleation of an odontoma occupying the maxillary sinus </w:t>
      </w:r>
      <w:r w:rsidRPr="003578BA">
        <w:t xml:space="preserve">(6). Utumi et al. used </w:t>
      </w:r>
      <w:r>
        <w:t xml:space="preserve">an </w:t>
      </w:r>
      <w:r w:rsidRPr="003578BA">
        <w:t>iliac b</w:t>
      </w:r>
      <w:r>
        <w:t xml:space="preserve">one graft and titanium mesh for </w:t>
      </w:r>
      <w:r w:rsidRPr="003578BA">
        <w:t xml:space="preserve">reconstruction </w:t>
      </w:r>
      <w:r>
        <w:t>of the cavity occurred</w:t>
      </w:r>
      <w:r w:rsidRPr="003578BA">
        <w:t xml:space="preserve"> </w:t>
      </w:r>
      <w:r>
        <w:t>following the</w:t>
      </w:r>
      <w:r w:rsidRPr="003578BA">
        <w:t xml:space="preserve"> excision of a complex odontoma in the maxilla (7).</w:t>
      </w:r>
    </w:p>
    <w:p w:rsidR="00515F46" w:rsidRDefault="00515F46" w:rsidP="00515F46">
      <w:pPr>
        <w:spacing w:line="480" w:lineRule="auto"/>
        <w:jc w:val="both"/>
      </w:pPr>
      <w:r w:rsidRPr="003578BA">
        <w:t>In this case report</w:t>
      </w:r>
      <w:r>
        <w:t xml:space="preserve">, we </w:t>
      </w:r>
      <w:r w:rsidRPr="003578BA">
        <w:t>explain</w:t>
      </w:r>
      <w:r>
        <w:t>ed</w:t>
      </w:r>
      <w:r w:rsidRPr="003578BA">
        <w:t xml:space="preserve"> our surgical approach </w:t>
      </w:r>
      <w:r>
        <w:t xml:space="preserve">used for the treatment of </w:t>
      </w:r>
      <w:r w:rsidRPr="003578BA">
        <w:t xml:space="preserve">two different </w:t>
      </w:r>
      <w:r>
        <w:t xml:space="preserve">cases with compound </w:t>
      </w:r>
      <w:r w:rsidRPr="003578BA">
        <w:t>odontoma in the</w:t>
      </w:r>
      <w:r>
        <w:t>ir</w:t>
      </w:r>
      <w:r w:rsidRPr="003578BA">
        <w:t xml:space="preserve"> mandibular symphysis. In both cases</w:t>
      </w:r>
      <w:r>
        <w:t>, a large bone cavity occured after enucleation. These</w:t>
      </w:r>
      <w:r w:rsidRPr="003578BA">
        <w:t xml:space="preserve"> </w:t>
      </w:r>
      <w:r>
        <w:t xml:space="preserve">empty </w:t>
      </w:r>
      <w:r w:rsidRPr="003578BA">
        <w:t>space</w:t>
      </w:r>
      <w:r>
        <w:t>s</w:t>
      </w:r>
      <w:r w:rsidRPr="003578BA">
        <w:t xml:space="preserve"> could pose a risk </w:t>
      </w:r>
      <w:r>
        <w:t xml:space="preserve">factor </w:t>
      </w:r>
      <w:r w:rsidRPr="003578BA">
        <w:t>for potential fractures</w:t>
      </w:r>
      <w:r>
        <w:t xml:space="preserve"> and</w:t>
      </w:r>
      <w:r w:rsidRPr="003578BA">
        <w:t xml:space="preserve"> non-aesthetic facial contours</w:t>
      </w:r>
      <w:r>
        <w:t xml:space="preserve">. </w:t>
      </w:r>
      <w:r w:rsidRPr="000E7E20">
        <w:t>Importance of the mental</w:t>
      </w:r>
      <w:r>
        <w:t>is</w:t>
      </w:r>
      <w:r w:rsidRPr="000E7E20">
        <w:t xml:space="preserve"> muscle attachment and continuity in the surgical procedures on symphyseal area, especially during symphysis graf</w:t>
      </w:r>
      <w:r>
        <w:t>t procedures has been suggested (8-10). S</w:t>
      </w:r>
      <w:r w:rsidRPr="003578BA">
        <w:t xml:space="preserve">urgical treatment of </w:t>
      </w:r>
      <w:r>
        <w:t>the lesions</w:t>
      </w:r>
      <w:r w:rsidRPr="003578BA">
        <w:t xml:space="preserve"> </w:t>
      </w:r>
      <w:r>
        <w:t>around</w:t>
      </w:r>
      <w:r w:rsidRPr="003578BA">
        <w:t xml:space="preserve"> </w:t>
      </w:r>
      <w:r>
        <w:t xml:space="preserve">the </w:t>
      </w:r>
      <w:r w:rsidRPr="000E7E20">
        <w:t>symphyseal</w:t>
      </w:r>
      <w:r w:rsidRPr="003578BA">
        <w:t xml:space="preserve"> area </w:t>
      </w:r>
      <w:r>
        <w:t>could be</w:t>
      </w:r>
      <w:r w:rsidRPr="003578BA">
        <w:t xml:space="preserve"> </w:t>
      </w:r>
      <w:r>
        <w:t>a</w:t>
      </w:r>
      <w:r w:rsidRPr="003578BA">
        <w:t xml:space="preserve"> possible reason for ptosis</w:t>
      </w:r>
      <w:r>
        <w:t xml:space="preserve"> </w:t>
      </w:r>
      <w:r w:rsidRPr="000E7E20">
        <w:t>of the mental</w:t>
      </w:r>
      <w:r>
        <w:t>is</w:t>
      </w:r>
      <w:r w:rsidRPr="000E7E20">
        <w:t xml:space="preserve"> muscle</w:t>
      </w:r>
      <w:r>
        <w:t xml:space="preserve"> (8,9). </w:t>
      </w:r>
      <w:r w:rsidRPr="00CE3103">
        <w:t>After enucleation, mentalis muscle should be repositioned by the surgeons as accurately as possible.</w:t>
      </w:r>
      <w:r>
        <w:t xml:space="preserve"> The technique described in the current study could provide a</w:t>
      </w:r>
      <w:r w:rsidRPr="003578BA">
        <w:t xml:space="preserve"> sufficient repositioning</w:t>
      </w:r>
      <w:r w:rsidRPr="00CE3103">
        <w:t xml:space="preserve"> </w:t>
      </w:r>
      <w:r w:rsidRPr="000E7E20">
        <w:t>of the mental</w:t>
      </w:r>
      <w:r>
        <w:t>is</w:t>
      </w:r>
      <w:r w:rsidRPr="000E7E20">
        <w:t xml:space="preserve"> muscle</w:t>
      </w:r>
      <w:r>
        <w:t>,</w:t>
      </w:r>
      <w:r w:rsidRPr="003578BA">
        <w:t xml:space="preserve"> after </w:t>
      </w:r>
      <w:r>
        <w:t xml:space="preserve">the </w:t>
      </w:r>
      <w:r w:rsidRPr="003578BA">
        <w:t xml:space="preserve">enucleation </w:t>
      </w:r>
      <w:r>
        <w:t xml:space="preserve">of compound </w:t>
      </w:r>
      <w:r w:rsidRPr="003578BA">
        <w:t>odontoma</w:t>
      </w:r>
      <w:r>
        <w:t>s</w:t>
      </w:r>
      <w:r w:rsidRPr="003578BA">
        <w:t xml:space="preserve"> </w:t>
      </w:r>
      <w:r>
        <w:t xml:space="preserve">around the </w:t>
      </w:r>
      <w:r w:rsidRPr="000E7E20">
        <w:t>symphyseal</w:t>
      </w:r>
      <w:r w:rsidRPr="003578BA">
        <w:t xml:space="preserve"> </w:t>
      </w:r>
      <w:r>
        <w:t xml:space="preserve">area. </w:t>
      </w:r>
      <w:r w:rsidRPr="00CE3103">
        <w:t xml:space="preserve">In both cases we aimed to strengthen these empty cavities using reconstruction plates in order to prevent the fractures. </w:t>
      </w:r>
      <w:r w:rsidRPr="003578BA">
        <w:t xml:space="preserve">In </w:t>
      </w:r>
      <w:r>
        <w:t xml:space="preserve">the </w:t>
      </w:r>
      <w:r w:rsidRPr="003578BA">
        <w:t xml:space="preserve">first case, we harvested </w:t>
      </w:r>
      <w:r>
        <w:t>an a</w:t>
      </w:r>
      <w:r w:rsidRPr="003578BA">
        <w:t>utogenous</w:t>
      </w:r>
      <w:r>
        <w:t xml:space="preserve"> graft from </w:t>
      </w:r>
      <w:r w:rsidRPr="003578BA">
        <w:t xml:space="preserve">left iliac bone </w:t>
      </w:r>
      <w:r w:rsidRPr="003578BA">
        <w:lastRenderedPageBreak/>
        <w:t>of the patient. We adapted t</w:t>
      </w:r>
      <w:r>
        <w:t>his</w:t>
      </w:r>
      <w:r w:rsidRPr="003578BA">
        <w:t xml:space="preserve"> autogenous bone graft to the recipient region</w:t>
      </w:r>
      <w:r>
        <w:t>,</w:t>
      </w:r>
      <w:r w:rsidRPr="003578BA">
        <w:t xml:space="preserve"> and</w:t>
      </w:r>
      <w:r>
        <w:t xml:space="preserve"> then we</w:t>
      </w:r>
      <w:r w:rsidRPr="003578BA">
        <w:t xml:space="preserve"> fixed</w:t>
      </w:r>
      <w:r>
        <w:t xml:space="preserve"> it</w:t>
      </w:r>
      <w:r w:rsidRPr="003578BA">
        <w:t xml:space="preserve"> by </w:t>
      </w:r>
      <w:r>
        <w:t>a</w:t>
      </w:r>
      <w:r w:rsidRPr="003578BA">
        <w:t xml:space="preserve"> reconstruction plate </w:t>
      </w:r>
      <w:r>
        <w:t xml:space="preserve">and </w:t>
      </w:r>
      <w:r w:rsidRPr="003578BA">
        <w:t xml:space="preserve">mini </w:t>
      </w:r>
      <w:r>
        <w:t xml:space="preserve">titan </w:t>
      </w:r>
      <w:r w:rsidRPr="003578BA">
        <w:t xml:space="preserve">screws. In the second case, we obtained the autogenous bone graft by cutting and removing carefully the intact bone overlying the </w:t>
      </w:r>
      <w:r>
        <w:t xml:space="preserve">compound </w:t>
      </w:r>
      <w:r w:rsidRPr="003578BA">
        <w:t>odontoma</w:t>
      </w:r>
      <w:r>
        <w:t>s</w:t>
      </w:r>
      <w:r w:rsidRPr="003578BA">
        <w:t xml:space="preserve">. </w:t>
      </w:r>
      <w:r w:rsidRPr="00D31681">
        <w:t>After enucleation of the lesions, autogenous bone grafts and reconstruction plates were fixed together, following the adaptation of autogenous bone grafts to fit inside of the cavities.</w:t>
      </w:r>
      <w:r>
        <w:t xml:space="preserve"> </w:t>
      </w:r>
    </w:p>
    <w:p w:rsidR="00515F46" w:rsidRPr="00181EDB" w:rsidRDefault="00515F46" w:rsidP="00515F46">
      <w:pPr>
        <w:spacing w:line="480" w:lineRule="auto"/>
        <w:jc w:val="both"/>
      </w:pPr>
      <w:r w:rsidRPr="00181EDB">
        <w:rPr>
          <w:shd w:val="clear" w:color="auto" w:fill="FFFFFF"/>
        </w:rPr>
        <w:t xml:space="preserve">Different types of materials have been used to replace missing bone during the last century, but due to superior properties such as ostegenic capacity compared to both allografts and xenografts, </w:t>
      </w:r>
      <w:r w:rsidRPr="00181EDB">
        <w:rPr>
          <w:rStyle w:val="highlight"/>
          <w:shd w:val="clear" w:color="auto" w:fill="FFFFFF"/>
        </w:rPr>
        <w:t>autogenous</w:t>
      </w:r>
      <w:r w:rsidRPr="00181EDB">
        <w:rPr>
          <w:rStyle w:val="apple-converted-space"/>
          <w:shd w:val="clear" w:color="auto" w:fill="FFFFFF"/>
        </w:rPr>
        <w:t> </w:t>
      </w:r>
      <w:r w:rsidRPr="00181EDB">
        <w:rPr>
          <w:rStyle w:val="highlight"/>
          <w:shd w:val="clear" w:color="auto" w:fill="FFFFFF"/>
        </w:rPr>
        <w:t>bone graft</w:t>
      </w:r>
      <w:r w:rsidRPr="00181EDB">
        <w:rPr>
          <w:rStyle w:val="apple-converted-space"/>
          <w:shd w:val="clear" w:color="auto" w:fill="FFFFFF"/>
        </w:rPr>
        <w:t> </w:t>
      </w:r>
      <w:r w:rsidRPr="00181EDB">
        <w:rPr>
          <w:shd w:val="clear" w:color="auto" w:fill="FFFFFF"/>
        </w:rPr>
        <w:t xml:space="preserve">is the gold standard for maxillofacial reconstruction. Moreover, </w:t>
      </w:r>
      <w:r w:rsidRPr="00181EDB">
        <w:t xml:space="preserve">autogenous grafts have the advantages of biocompatibility and lower potential for infection, exposure, and foreign body reaction. </w:t>
      </w:r>
      <w:r w:rsidRPr="00181EDB">
        <w:rPr>
          <w:shd w:val="clear" w:color="auto" w:fill="FFFFFF"/>
        </w:rPr>
        <w:t xml:space="preserve">On the other hand, a few complications have been described such as; nerve injury, infection and unaesthetic scars at the donor site in the literature. However, iliac graft harvest technique allows harvesting with low morbidity (11). </w:t>
      </w:r>
      <w:r w:rsidRPr="00181EDB">
        <w:t>Thus, in both cases, we didn’t need to use any other bone graft except autogenous one.</w:t>
      </w:r>
    </w:p>
    <w:p w:rsidR="00515F46" w:rsidRPr="003578BA" w:rsidRDefault="00515F46" w:rsidP="00515F46">
      <w:pPr>
        <w:spacing w:line="480" w:lineRule="auto"/>
        <w:jc w:val="lowKashida"/>
      </w:pPr>
      <w:r w:rsidRPr="00181EDB">
        <w:t>No complication occurred during the healing process. Follow-up periods of both patients were uneventful, and other disorders such as ptosis and paresthesia were not also seen.</w:t>
      </w:r>
      <w:r w:rsidRPr="003578BA">
        <w:t xml:space="preserve"> The result</w:t>
      </w:r>
      <w:r>
        <w:t>s were</w:t>
      </w:r>
      <w:r w:rsidRPr="003578BA">
        <w:t xml:space="preserve"> quite satisfactory as aesthetically. Therefore</w:t>
      </w:r>
      <w:r>
        <w:t>, we think that</w:t>
      </w:r>
      <w:r w:rsidRPr="003578BA">
        <w:t xml:space="preserve"> </w:t>
      </w:r>
      <w:r>
        <w:t>“</w:t>
      </w:r>
      <w:r w:rsidRPr="003578BA">
        <w:t>autogenous bone cover technique</w:t>
      </w:r>
      <w:r>
        <w:t>”</w:t>
      </w:r>
      <w:r w:rsidRPr="003578BA">
        <w:t xml:space="preserve"> </w:t>
      </w:r>
      <w:r>
        <w:t>could be</w:t>
      </w:r>
      <w:r w:rsidRPr="003578BA">
        <w:t xml:space="preserve"> used effectively during </w:t>
      </w:r>
      <w:r>
        <w:t xml:space="preserve">the surgical treatments of </w:t>
      </w:r>
      <w:r w:rsidRPr="003578BA">
        <w:t>pathologies</w:t>
      </w:r>
      <w:r>
        <w:t xml:space="preserve"> on symphyseal</w:t>
      </w:r>
      <w:r w:rsidRPr="003578BA">
        <w:t xml:space="preserve"> area.</w:t>
      </w:r>
    </w:p>
    <w:p w:rsidR="00515F46" w:rsidRPr="003578BA" w:rsidRDefault="00515F46" w:rsidP="00515F46">
      <w:pPr>
        <w:spacing w:line="480" w:lineRule="auto"/>
        <w:jc w:val="lowKashida"/>
      </w:pPr>
      <w:r w:rsidRPr="003578BA">
        <w:rPr>
          <w:b/>
        </w:rPr>
        <w:t>Conclusion</w:t>
      </w:r>
    </w:p>
    <w:p w:rsidR="00515F46" w:rsidRPr="003578BA" w:rsidRDefault="00515F46" w:rsidP="00515F46">
      <w:pPr>
        <w:spacing w:line="480" w:lineRule="auto"/>
        <w:jc w:val="lowKashida"/>
      </w:pPr>
      <w:r w:rsidRPr="00922E6D">
        <w:t>After the enucleation of odontomas in large sizes, we believe that the technique described here could be an effective method for preventing the possible postoperative complications, such as bone fractures, contour disorders, and also high treatment costs due to the requirement of using factory made bone grafts.</w:t>
      </w:r>
      <w:r>
        <w:t xml:space="preserve"> R</w:t>
      </w:r>
      <w:r w:rsidRPr="00B47C14">
        <w:t>igorous clinical studies are required about this subject</w:t>
      </w:r>
      <w:r>
        <w:t xml:space="preserve"> in the future</w:t>
      </w:r>
      <w:r w:rsidRPr="00B47C14">
        <w:t>.</w:t>
      </w:r>
    </w:p>
    <w:p w:rsidR="00515F46" w:rsidRPr="00E569C6" w:rsidRDefault="00515F46" w:rsidP="00515F46">
      <w:pPr>
        <w:spacing w:line="480" w:lineRule="auto"/>
        <w:jc w:val="lowKashida"/>
      </w:pPr>
      <w:r w:rsidRPr="003578BA">
        <w:rPr>
          <w:b/>
          <w:color w:val="333333"/>
        </w:rPr>
        <w:lastRenderedPageBreak/>
        <w:t>Conflict of Interest:</w:t>
      </w:r>
      <w:r w:rsidRPr="003578BA">
        <w:rPr>
          <w:color w:val="333333"/>
        </w:rPr>
        <w:t xml:space="preserve"> None</w:t>
      </w:r>
      <w:r>
        <w:t xml:space="preserve">                                </w:t>
      </w:r>
      <w:r w:rsidRPr="003578BA">
        <w:rPr>
          <w:b/>
          <w:color w:val="333333"/>
        </w:rPr>
        <w:t>Funding source:</w:t>
      </w:r>
      <w:r w:rsidRPr="003578BA">
        <w:rPr>
          <w:color w:val="333333"/>
        </w:rPr>
        <w:t xml:space="preserve"> None</w:t>
      </w:r>
    </w:p>
    <w:p w:rsidR="00515F46" w:rsidRDefault="00515F46" w:rsidP="00515F46">
      <w:pPr>
        <w:spacing w:line="480" w:lineRule="auto"/>
        <w:jc w:val="lowKashida"/>
        <w:rPr>
          <w:rFonts w:ascii="Arial" w:hAnsi="Arial" w:cs="Arial"/>
          <w:color w:val="FF0000"/>
          <w:sz w:val="16"/>
          <w:szCs w:val="16"/>
          <w:shd w:val="clear" w:color="auto" w:fill="FFFFFF"/>
        </w:rPr>
      </w:pPr>
    </w:p>
    <w:p w:rsidR="00515F46" w:rsidRDefault="00515F46" w:rsidP="00515F46">
      <w:pPr>
        <w:spacing w:line="480" w:lineRule="auto"/>
        <w:jc w:val="lowKashida"/>
        <w:rPr>
          <w:b/>
        </w:rPr>
      </w:pPr>
    </w:p>
    <w:p w:rsidR="00515F46" w:rsidRDefault="00515F46" w:rsidP="00515F46">
      <w:pPr>
        <w:spacing w:line="480" w:lineRule="auto"/>
        <w:jc w:val="lowKashida"/>
        <w:rPr>
          <w:b/>
        </w:rPr>
      </w:pPr>
    </w:p>
    <w:p w:rsidR="00515F46" w:rsidRDefault="00515F46" w:rsidP="00515F46">
      <w:pPr>
        <w:spacing w:line="480" w:lineRule="auto"/>
        <w:jc w:val="lowKashida"/>
        <w:rPr>
          <w:b/>
        </w:rPr>
      </w:pPr>
    </w:p>
    <w:p w:rsidR="00515F46" w:rsidRPr="003578BA" w:rsidRDefault="00515F46" w:rsidP="00515F46">
      <w:pPr>
        <w:spacing w:line="480" w:lineRule="auto"/>
        <w:jc w:val="lowKashida"/>
        <w:rPr>
          <w:b/>
        </w:rPr>
      </w:pPr>
      <w:r w:rsidRPr="003578BA">
        <w:rPr>
          <w:b/>
        </w:rPr>
        <w:t>References</w:t>
      </w:r>
    </w:p>
    <w:p w:rsidR="00515F46" w:rsidRPr="003578BA" w:rsidRDefault="00515F46" w:rsidP="00515F46">
      <w:pPr>
        <w:spacing w:line="360" w:lineRule="auto"/>
        <w:jc w:val="lowKashida"/>
        <w:rPr>
          <w:sz w:val="22"/>
          <w:szCs w:val="22"/>
        </w:rPr>
      </w:pPr>
      <w:r w:rsidRPr="003578BA">
        <w:rPr>
          <w:sz w:val="22"/>
          <w:szCs w:val="22"/>
        </w:rPr>
        <w:t>1. Neville BW, Damm DD,  Allen CM,  Bouquot JE. Odontoma. In: Neville BW, Damm DD, Allen CM, Bouquot JE editors. Oral and maxillofacial pathology. 2nd ed. Philadelphia: Saunders; 2005. p. 631-633.</w:t>
      </w:r>
    </w:p>
    <w:p w:rsidR="00515F46" w:rsidRPr="003578BA" w:rsidRDefault="00515F46" w:rsidP="00515F46">
      <w:pPr>
        <w:spacing w:line="360" w:lineRule="auto"/>
        <w:jc w:val="lowKashida"/>
        <w:rPr>
          <w:sz w:val="22"/>
          <w:szCs w:val="22"/>
        </w:rPr>
      </w:pPr>
      <w:r w:rsidRPr="003578BA">
        <w:rPr>
          <w:sz w:val="22"/>
          <w:szCs w:val="22"/>
        </w:rPr>
        <w:t>2. Marx RE, Stern D. Oral and maxillofacial pathology. Quintessence Publishing Co, Florida 2002 p:678-9.</w:t>
      </w:r>
    </w:p>
    <w:p w:rsidR="00515F46" w:rsidRPr="003578BA" w:rsidRDefault="00515F46" w:rsidP="00515F46">
      <w:pPr>
        <w:spacing w:line="360" w:lineRule="auto"/>
        <w:jc w:val="lowKashida"/>
        <w:rPr>
          <w:sz w:val="22"/>
          <w:szCs w:val="22"/>
        </w:rPr>
      </w:pPr>
      <w:r w:rsidRPr="003578BA">
        <w:rPr>
          <w:sz w:val="22"/>
          <w:szCs w:val="22"/>
        </w:rPr>
        <w:t xml:space="preserve">3. </w:t>
      </w:r>
      <w:r w:rsidRPr="003578BA">
        <w:rPr>
          <w:sz w:val="22"/>
          <w:szCs w:val="22"/>
          <w:shd w:val="clear" w:color="auto" w:fill="FFFFFF"/>
        </w:rPr>
        <w:t>Bhargavan Sarojini S, Khosla E, Varghese T, &amp; Johnson Arakkal L. (2014). Eruption of Odontomas into the Oral Cavity: A Report of 2 Cases.</w:t>
      </w:r>
      <w:r w:rsidRPr="003578BA">
        <w:rPr>
          <w:rStyle w:val="apple-converted-space"/>
          <w:sz w:val="22"/>
          <w:szCs w:val="22"/>
          <w:shd w:val="clear" w:color="auto" w:fill="FFFFFF"/>
        </w:rPr>
        <w:t> </w:t>
      </w:r>
      <w:r w:rsidRPr="003578BA">
        <w:rPr>
          <w:iCs/>
          <w:sz w:val="22"/>
          <w:szCs w:val="22"/>
          <w:shd w:val="clear" w:color="auto" w:fill="FFFFFF"/>
        </w:rPr>
        <w:t>Case Reports in Dentistry</w:t>
      </w:r>
      <w:r w:rsidRPr="003578BA">
        <w:rPr>
          <w:sz w:val="22"/>
          <w:szCs w:val="22"/>
          <w:shd w:val="clear" w:color="auto" w:fill="FFFFFF"/>
        </w:rPr>
        <w:t>,</w:t>
      </w:r>
      <w:r w:rsidRPr="003578BA">
        <w:rPr>
          <w:rStyle w:val="apple-converted-space"/>
          <w:sz w:val="22"/>
          <w:szCs w:val="22"/>
          <w:shd w:val="clear" w:color="auto" w:fill="FFFFFF"/>
        </w:rPr>
        <w:t> </w:t>
      </w:r>
      <w:r w:rsidRPr="003578BA">
        <w:rPr>
          <w:iCs/>
          <w:sz w:val="22"/>
          <w:szCs w:val="22"/>
          <w:shd w:val="clear" w:color="auto" w:fill="FFFFFF"/>
        </w:rPr>
        <w:t>2014</w:t>
      </w:r>
      <w:r w:rsidRPr="003578BA">
        <w:rPr>
          <w:sz w:val="22"/>
          <w:szCs w:val="22"/>
          <w:shd w:val="clear" w:color="auto" w:fill="FFFFFF"/>
        </w:rPr>
        <w:t>.</w:t>
      </w:r>
    </w:p>
    <w:p w:rsidR="00515F46" w:rsidRPr="003578BA" w:rsidRDefault="00515F46" w:rsidP="00515F46">
      <w:pPr>
        <w:spacing w:line="360" w:lineRule="auto"/>
        <w:jc w:val="lowKashida"/>
        <w:rPr>
          <w:sz w:val="22"/>
          <w:szCs w:val="22"/>
        </w:rPr>
      </w:pPr>
      <w:r w:rsidRPr="003578BA">
        <w:rPr>
          <w:sz w:val="22"/>
          <w:szCs w:val="22"/>
          <w:shd w:val="clear" w:color="auto" w:fill="FFFFFF"/>
        </w:rPr>
        <w:t>4.</w:t>
      </w:r>
      <w:r w:rsidRPr="003578BA">
        <w:rPr>
          <w:sz w:val="22"/>
          <w:szCs w:val="22"/>
        </w:rPr>
        <w:t xml:space="preserve"> Philipsen HP, Reichart PA, Praetorius F. Mixed odontogenic tumours and odontomas. Considerations on interrelationship. Review of the literature and presentation of 134 new cases of odontomas. Oral Oncol 1997 Mar;33(2):86-99.</w:t>
      </w:r>
    </w:p>
    <w:p w:rsidR="00515F46" w:rsidRPr="003578BA" w:rsidRDefault="00515F46" w:rsidP="00515F46">
      <w:pPr>
        <w:spacing w:line="360" w:lineRule="auto"/>
        <w:jc w:val="lowKashida"/>
        <w:rPr>
          <w:sz w:val="22"/>
          <w:szCs w:val="22"/>
        </w:rPr>
      </w:pPr>
      <w:r w:rsidRPr="003578BA">
        <w:rPr>
          <w:sz w:val="22"/>
          <w:szCs w:val="22"/>
        </w:rPr>
        <w:t>5. Erdogan Ö, Keceli O, Oztunc H, Evlice B, Altuğ HA, Günhan O. (2014). Compound odontoma involving the four quadrant of the jaws: A case report and review of the literature. Quintessence international (Berlin, Germany: 1985), 45(4), 341-344.</w:t>
      </w:r>
    </w:p>
    <w:p w:rsidR="00515F46" w:rsidRPr="003578BA" w:rsidRDefault="00515F46" w:rsidP="00515F46">
      <w:pPr>
        <w:spacing w:line="360" w:lineRule="auto"/>
        <w:jc w:val="lowKashida"/>
        <w:rPr>
          <w:sz w:val="22"/>
          <w:szCs w:val="22"/>
        </w:rPr>
      </w:pPr>
      <w:r w:rsidRPr="003578BA">
        <w:rPr>
          <w:sz w:val="22"/>
          <w:szCs w:val="22"/>
        </w:rPr>
        <w:t>6. Arunkumar KV, Vijaykumar Nitin Garg. Surgical management of an erupted complex odontoma occupying maxillary sinus.</w:t>
      </w:r>
      <w:r w:rsidRPr="003578BA">
        <w:rPr>
          <w:rStyle w:val="apple-converted-space"/>
          <w:sz w:val="22"/>
          <w:szCs w:val="22"/>
        </w:rPr>
        <w:t> </w:t>
      </w:r>
      <w:r w:rsidRPr="003578BA">
        <w:rPr>
          <w:iCs/>
          <w:sz w:val="22"/>
          <w:szCs w:val="22"/>
        </w:rPr>
        <w:t>Annals of maxillofacial surgery</w:t>
      </w:r>
      <w:r w:rsidRPr="003578BA">
        <w:rPr>
          <w:sz w:val="22"/>
          <w:szCs w:val="22"/>
        </w:rPr>
        <w:t>, 2012, 2.1: 86.</w:t>
      </w:r>
    </w:p>
    <w:p w:rsidR="00515F46" w:rsidRPr="003578BA" w:rsidRDefault="00515F46" w:rsidP="00515F46">
      <w:pPr>
        <w:spacing w:line="360" w:lineRule="auto"/>
        <w:jc w:val="lowKashida"/>
        <w:rPr>
          <w:sz w:val="22"/>
          <w:szCs w:val="22"/>
        </w:rPr>
      </w:pPr>
      <w:r w:rsidRPr="003578BA">
        <w:rPr>
          <w:sz w:val="22"/>
          <w:szCs w:val="22"/>
        </w:rPr>
        <w:t>7. Utumi Estevam Rubens, et al. Maxillary reconstruction with particulate bone graft and titanium mesh: a treatment option for large complex odontoma of the maxilla. </w:t>
      </w:r>
      <w:r w:rsidRPr="003578BA">
        <w:rPr>
          <w:iCs/>
          <w:sz w:val="22"/>
          <w:szCs w:val="22"/>
        </w:rPr>
        <w:t>Journal of Dentistry for Children</w:t>
      </w:r>
      <w:r w:rsidRPr="003578BA">
        <w:rPr>
          <w:sz w:val="22"/>
          <w:szCs w:val="22"/>
        </w:rPr>
        <w:t>, 2011, 78.2: 124-128.</w:t>
      </w:r>
    </w:p>
    <w:p w:rsidR="00515F46" w:rsidRPr="003578BA" w:rsidRDefault="00515F46" w:rsidP="00515F46">
      <w:pPr>
        <w:spacing w:line="360" w:lineRule="auto"/>
        <w:jc w:val="lowKashida"/>
        <w:rPr>
          <w:sz w:val="22"/>
          <w:szCs w:val="22"/>
        </w:rPr>
      </w:pPr>
      <w:r w:rsidRPr="003578BA">
        <w:rPr>
          <w:sz w:val="22"/>
          <w:szCs w:val="22"/>
        </w:rPr>
        <w:t>8. Nola CF, Rodriquez-Chessa JG, Ortega-Lopes R, Cabral-Andrade V, Barbeiro RH, Mazzonetto R. Prospective study of soft tissue contour changes following chin bone graft harvesting. Int J Oral Maxillofac Surg, 2012 Feb;41(2):176-9.</w:t>
      </w:r>
    </w:p>
    <w:p w:rsidR="00515F46" w:rsidRPr="003578BA" w:rsidRDefault="00515F46" w:rsidP="00515F46">
      <w:pPr>
        <w:spacing w:line="360" w:lineRule="auto"/>
        <w:jc w:val="lowKashida"/>
        <w:rPr>
          <w:sz w:val="22"/>
          <w:szCs w:val="22"/>
        </w:rPr>
      </w:pPr>
      <w:r w:rsidRPr="003578BA">
        <w:rPr>
          <w:sz w:val="22"/>
          <w:szCs w:val="22"/>
        </w:rPr>
        <w:t>9. Varol A, Sencimen M, Kocabiyik N, Gulses A, Ozan H. Clinical and anatomical aspects of possible mylohyoid nerve injury during genioplasties. Int J Oral Maxillofac Surg. 2009 Oct;38(10):1084-7.</w:t>
      </w:r>
    </w:p>
    <w:p w:rsidR="00515F46" w:rsidRPr="003578BA" w:rsidRDefault="00515F46" w:rsidP="00515F46">
      <w:pPr>
        <w:spacing w:line="360" w:lineRule="auto"/>
        <w:jc w:val="lowKashida"/>
        <w:rPr>
          <w:color w:val="333333"/>
          <w:sz w:val="22"/>
          <w:szCs w:val="22"/>
        </w:rPr>
      </w:pPr>
      <w:r w:rsidRPr="003578BA">
        <w:rPr>
          <w:sz w:val="22"/>
          <w:szCs w:val="22"/>
        </w:rPr>
        <w:t>10. Sencimen M, Gulses A, Varol A, Okcu KM, Bayar GR. Two simple techniquues for bone graft harvesting from mandibular symphisis. J Dent Fac Atatürk Uni. 2010;147:12-16.</w:t>
      </w:r>
    </w:p>
    <w:p w:rsidR="00515F46" w:rsidRPr="00D542E7" w:rsidRDefault="00515F46" w:rsidP="00515F46">
      <w:pPr>
        <w:pStyle w:val="Balk1"/>
        <w:shd w:val="clear" w:color="auto" w:fill="FFFFFF"/>
        <w:spacing w:before="90" w:beforeAutospacing="0" w:after="90" w:afterAutospacing="0" w:line="360" w:lineRule="auto"/>
        <w:rPr>
          <w:b w:val="0"/>
          <w:sz w:val="22"/>
          <w:szCs w:val="22"/>
        </w:rPr>
      </w:pPr>
      <w:r w:rsidRPr="00D542E7">
        <w:rPr>
          <w:b w:val="0"/>
          <w:sz w:val="22"/>
          <w:szCs w:val="22"/>
        </w:rPr>
        <w:t>11.</w:t>
      </w:r>
      <w:r w:rsidRPr="00D542E7">
        <w:t xml:space="preserve"> </w:t>
      </w:r>
      <w:hyperlink r:id="rId5" w:history="1">
        <w:r w:rsidRPr="00D542E7">
          <w:rPr>
            <w:rStyle w:val="highlight"/>
            <w:b w:val="0"/>
            <w:sz w:val="22"/>
            <w:szCs w:val="22"/>
            <w:shd w:val="clear" w:color="auto" w:fill="FFFFFF"/>
          </w:rPr>
          <w:t>Acocella A</w:t>
        </w:r>
      </w:hyperlink>
      <w:r w:rsidRPr="00D542E7">
        <w:rPr>
          <w:b w:val="0"/>
          <w:sz w:val="22"/>
          <w:szCs w:val="22"/>
          <w:shd w:val="clear" w:color="auto" w:fill="FFFFFF"/>
          <w:vertAlign w:val="superscript"/>
        </w:rPr>
        <w:t>1</w:t>
      </w:r>
      <w:r w:rsidRPr="00D542E7">
        <w:rPr>
          <w:b w:val="0"/>
          <w:sz w:val="22"/>
          <w:szCs w:val="22"/>
          <w:shd w:val="clear" w:color="auto" w:fill="FFFFFF"/>
        </w:rPr>
        <w:t>,</w:t>
      </w:r>
      <w:r w:rsidRPr="00D542E7">
        <w:rPr>
          <w:rStyle w:val="apple-converted-space"/>
          <w:b w:val="0"/>
          <w:sz w:val="22"/>
          <w:szCs w:val="22"/>
          <w:shd w:val="clear" w:color="auto" w:fill="FFFFFF"/>
        </w:rPr>
        <w:t> </w:t>
      </w:r>
      <w:hyperlink r:id="rId6" w:history="1">
        <w:r w:rsidRPr="00D542E7">
          <w:rPr>
            <w:rStyle w:val="highlight"/>
            <w:b w:val="0"/>
            <w:sz w:val="22"/>
            <w:szCs w:val="22"/>
            <w:shd w:val="clear" w:color="auto" w:fill="FFFFFF"/>
          </w:rPr>
          <w:t>Nardi P</w:t>
        </w:r>
      </w:hyperlink>
      <w:r w:rsidRPr="00D542E7">
        <w:rPr>
          <w:b w:val="0"/>
          <w:sz w:val="22"/>
          <w:szCs w:val="22"/>
          <w:shd w:val="clear" w:color="auto" w:fill="FFFFFF"/>
        </w:rPr>
        <w:t>,</w:t>
      </w:r>
      <w:r w:rsidRPr="00D542E7">
        <w:rPr>
          <w:rStyle w:val="apple-converted-space"/>
          <w:b w:val="0"/>
          <w:sz w:val="22"/>
          <w:szCs w:val="22"/>
          <w:shd w:val="clear" w:color="auto" w:fill="FFFFFF"/>
        </w:rPr>
        <w:t> </w:t>
      </w:r>
      <w:hyperlink r:id="rId7" w:history="1">
        <w:r w:rsidRPr="00D542E7">
          <w:rPr>
            <w:rStyle w:val="highlight"/>
            <w:b w:val="0"/>
            <w:sz w:val="22"/>
            <w:szCs w:val="22"/>
            <w:shd w:val="clear" w:color="auto" w:fill="FFFFFF"/>
          </w:rPr>
          <w:t>Tedesco A</w:t>
        </w:r>
      </w:hyperlink>
      <w:r w:rsidRPr="00D542E7">
        <w:rPr>
          <w:b w:val="0"/>
          <w:sz w:val="22"/>
          <w:szCs w:val="22"/>
          <w:shd w:val="clear" w:color="auto" w:fill="FFFFFF"/>
        </w:rPr>
        <w:t>,</w:t>
      </w:r>
      <w:r w:rsidRPr="00D542E7">
        <w:rPr>
          <w:rStyle w:val="apple-converted-space"/>
          <w:b w:val="0"/>
          <w:sz w:val="22"/>
          <w:szCs w:val="22"/>
          <w:shd w:val="clear" w:color="auto" w:fill="FFFFFF"/>
        </w:rPr>
        <w:t> </w:t>
      </w:r>
      <w:hyperlink r:id="rId8" w:history="1">
        <w:r w:rsidRPr="00D542E7">
          <w:rPr>
            <w:rStyle w:val="Kpr"/>
            <w:b w:val="0"/>
            <w:sz w:val="22"/>
            <w:szCs w:val="22"/>
            <w:shd w:val="clear" w:color="auto" w:fill="FFFFFF"/>
          </w:rPr>
          <w:t>Beninati F</w:t>
        </w:r>
      </w:hyperlink>
      <w:r w:rsidRPr="00D542E7">
        <w:rPr>
          <w:b w:val="0"/>
          <w:sz w:val="22"/>
          <w:szCs w:val="22"/>
          <w:shd w:val="clear" w:color="auto" w:fill="FFFFFF"/>
        </w:rPr>
        <w:t>,</w:t>
      </w:r>
      <w:r w:rsidRPr="00D542E7">
        <w:rPr>
          <w:rStyle w:val="apple-converted-space"/>
          <w:b w:val="0"/>
          <w:sz w:val="22"/>
          <w:szCs w:val="22"/>
          <w:shd w:val="clear" w:color="auto" w:fill="FFFFFF"/>
        </w:rPr>
        <w:t> </w:t>
      </w:r>
      <w:hyperlink r:id="rId9" w:history="1">
        <w:r w:rsidRPr="00D542E7">
          <w:rPr>
            <w:rStyle w:val="Kpr"/>
            <w:b w:val="0"/>
            <w:sz w:val="22"/>
            <w:szCs w:val="22"/>
            <w:shd w:val="clear" w:color="auto" w:fill="FFFFFF"/>
          </w:rPr>
          <w:t>Giannini D</w:t>
        </w:r>
      </w:hyperlink>
      <w:r w:rsidRPr="00D542E7">
        <w:rPr>
          <w:b w:val="0"/>
          <w:sz w:val="22"/>
          <w:szCs w:val="22"/>
          <w:shd w:val="clear" w:color="auto" w:fill="FFFFFF"/>
        </w:rPr>
        <w:t>.</w:t>
      </w:r>
      <w:r w:rsidRPr="00D542E7">
        <w:rPr>
          <w:sz w:val="22"/>
          <w:szCs w:val="22"/>
          <w:shd w:val="clear" w:color="auto" w:fill="FFFFFF"/>
        </w:rPr>
        <w:t xml:space="preserve"> </w:t>
      </w:r>
      <w:r w:rsidRPr="00D542E7">
        <w:rPr>
          <w:b w:val="0"/>
          <w:sz w:val="22"/>
          <w:szCs w:val="22"/>
        </w:rPr>
        <w:t>Anterior iliac bone grafts: techniques and sequelae. Report on 107 cases and review of the literature.</w:t>
      </w:r>
      <w:r w:rsidRPr="00D542E7">
        <w:rPr>
          <w:rFonts w:ascii="Arial" w:hAnsi="Arial" w:cs="Arial"/>
          <w:sz w:val="14"/>
          <w:szCs w:val="14"/>
          <w:shd w:val="clear" w:color="auto" w:fill="FFFFFF"/>
        </w:rPr>
        <w:t xml:space="preserve"> </w:t>
      </w:r>
      <w:hyperlink r:id="rId10" w:tooltip="Minerva stomatologica." w:history="1">
        <w:r w:rsidRPr="00D542E7">
          <w:rPr>
            <w:rStyle w:val="Kpr"/>
            <w:b w:val="0"/>
            <w:sz w:val="22"/>
            <w:szCs w:val="22"/>
            <w:shd w:val="clear" w:color="auto" w:fill="FFFFFF"/>
          </w:rPr>
          <w:t>Minerva Stomatol.</w:t>
        </w:r>
      </w:hyperlink>
      <w:r w:rsidRPr="00D542E7">
        <w:rPr>
          <w:rStyle w:val="apple-converted-space"/>
          <w:b w:val="0"/>
          <w:sz w:val="22"/>
          <w:szCs w:val="22"/>
          <w:shd w:val="clear" w:color="auto" w:fill="FFFFFF"/>
        </w:rPr>
        <w:t> </w:t>
      </w:r>
      <w:r w:rsidRPr="00D542E7">
        <w:rPr>
          <w:b w:val="0"/>
          <w:sz w:val="22"/>
          <w:szCs w:val="22"/>
          <w:shd w:val="clear" w:color="auto" w:fill="FFFFFF"/>
        </w:rPr>
        <w:t>2003 Sep;52(9):441-53.</w:t>
      </w:r>
    </w:p>
    <w:p w:rsidR="00515F46" w:rsidRPr="00D542E7" w:rsidRDefault="00515F46" w:rsidP="00515F46">
      <w:pPr>
        <w:autoSpaceDE w:val="0"/>
        <w:autoSpaceDN w:val="0"/>
        <w:adjustRightInd w:val="0"/>
        <w:spacing w:line="480" w:lineRule="auto"/>
        <w:jc w:val="lowKashida"/>
        <w:rPr>
          <w:sz w:val="22"/>
          <w:szCs w:val="22"/>
        </w:rPr>
      </w:pPr>
    </w:p>
    <w:p w:rsidR="00515F46" w:rsidRPr="003578BA" w:rsidRDefault="00515F46" w:rsidP="00515F46">
      <w:pPr>
        <w:spacing w:after="200" w:line="276" w:lineRule="auto"/>
        <w:rPr>
          <w:b/>
        </w:rPr>
      </w:pPr>
      <w:r w:rsidRPr="003578BA">
        <w:rPr>
          <w:b/>
        </w:rPr>
        <w:br w:type="page"/>
      </w:r>
    </w:p>
    <w:p w:rsidR="00515F46" w:rsidRPr="003578BA" w:rsidRDefault="00515F46" w:rsidP="00515F46">
      <w:pPr>
        <w:jc w:val="lowKashida"/>
        <w:rPr>
          <w:b/>
          <w:sz w:val="22"/>
          <w:szCs w:val="22"/>
        </w:rPr>
      </w:pPr>
      <w:r w:rsidRPr="003578BA">
        <w:rPr>
          <w:b/>
          <w:sz w:val="22"/>
          <w:szCs w:val="22"/>
        </w:rPr>
        <w:lastRenderedPageBreak/>
        <w:t>Figures</w:t>
      </w:r>
    </w:p>
    <w:p w:rsidR="00515F46" w:rsidRPr="003578BA" w:rsidRDefault="00515F46" w:rsidP="00515F46">
      <w:pPr>
        <w:jc w:val="lowKashida"/>
        <w:rPr>
          <w:sz w:val="22"/>
          <w:szCs w:val="22"/>
        </w:rPr>
      </w:pPr>
      <w:r>
        <w:rPr>
          <w:noProof/>
          <w:sz w:val="22"/>
          <w:szCs w:val="22"/>
        </w:rPr>
        <w:drawing>
          <wp:inline distT="0" distB="0" distL="0" distR="0">
            <wp:extent cx="1797050" cy="1375410"/>
            <wp:effectExtent l="19050" t="0" r="0" b="0"/>
            <wp:docPr id="1" name="Picture 20" descr="Description: Odontom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Odontoma 35"/>
                    <pic:cNvPicPr>
                      <a:picLocks noChangeAspect="1" noChangeArrowheads="1"/>
                    </pic:cNvPicPr>
                  </pic:nvPicPr>
                  <pic:blipFill>
                    <a:blip r:embed="rId11" cstate="print"/>
                    <a:srcRect/>
                    <a:stretch>
                      <a:fillRect/>
                    </a:stretch>
                  </pic:blipFill>
                  <pic:spPr bwMode="auto">
                    <a:xfrm>
                      <a:off x="0" y="0"/>
                      <a:ext cx="1797050" cy="1375410"/>
                    </a:xfrm>
                    <a:prstGeom prst="rect">
                      <a:avLst/>
                    </a:prstGeom>
                    <a:noFill/>
                    <a:ln w="9525">
                      <a:noFill/>
                      <a:miter lim="800000"/>
                      <a:headEnd/>
                      <a:tailEnd/>
                    </a:ln>
                  </pic:spPr>
                </pic:pic>
              </a:graphicData>
            </a:graphic>
          </wp:inline>
        </w:drawing>
      </w:r>
    </w:p>
    <w:p w:rsidR="00515F46" w:rsidRPr="003578BA" w:rsidRDefault="00515F46" w:rsidP="00515F46">
      <w:pPr>
        <w:jc w:val="lowKashida"/>
        <w:rPr>
          <w:sz w:val="22"/>
          <w:szCs w:val="22"/>
        </w:rPr>
      </w:pPr>
      <w:r w:rsidRPr="003578BA">
        <w:rPr>
          <w:b/>
          <w:sz w:val="22"/>
          <w:szCs w:val="22"/>
        </w:rPr>
        <w:t xml:space="preserve">Figure 1. </w:t>
      </w:r>
      <w:r w:rsidRPr="003578BA">
        <w:rPr>
          <w:sz w:val="22"/>
          <w:szCs w:val="22"/>
        </w:rPr>
        <w:t>Initial intraoral view of the patient.</w:t>
      </w:r>
    </w:p>
    <w:p w:rsidR="00515F46" w:rsidRPr="003578BA" w:rsidRDefault="00515F46" w:rsidP="00515F46">
      <w:pPr>
        <w:jc w:val="lowKashida"/>
        <w:rPr>
          <w:sz w:val="22"/>
          <w:szCs w:val="22"/>
        </w:rPr>
      </w:pPr>
    </w:p>
    <w:p w:rsidR="00515F46" w:rsidRPr="003578BA" w:rsidRDefault="00515F46" w:rsidP="00515F46">
      <w:pPr>
        <w:jc w:val="lowKashida"/>
        <w:rPr>
          <w:b/>
          <w:sz w:val="22"/>
          <w:szCs w:val="22"/>
        </w:rPr>
      </w:pPr>
    </w:p>
    <w:p w:rsidR="00515F46" w:rsidRPr="003578BA" w:rsidRDefault="00515F46" w:rsidP="00515F46">
      <w:pPr>
        <w:jc w:val="lowKashida"/>
        <w:rPr>
          <w:b/>
          <w:sz w:val="22"/>
          <w:szCs w:val="22"/>
        </w:rPr>
      </w:pPr>
    </w:p>
    <w:p w:rsidR="00515F46" w:rsidRPr="003578BA" w:rsidRDefault="00515F46" w:rsidP="00515F46">
      <w:pPr>
        <w:jc w:val="lowKashida"/>
        <w:rPr>
          <w:sz w:val="22"/>
          <w:szCs w:val="22"/>
        </w:rPr>
      </w:pPr>
      <w:r>
        <w:rPr>
          <w:noProof/>
          <w:sz w:val="22"/>
          <w:szCs w:val="22"/>
        </w:rPr>
        <w:drawing>
          <wp:inline distT="0" distB="0" distL="0" distR="0">
            <wp:extent cx="1534795" cy="898525"/>
            <wp:effectExtent l="19050" t="0" r="8255" b="0"/>
            <wp:docPr id="2" name="Picture 19" descr="Description: odonto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odontoma 3"/>
                    <pic:cNvPicPr>
                      <a:picLocks noChangeAspect="1" noChangeArrowheads="1"/>
                    </pic:cNvPicPr>
                  </pic:nvPicPr>
                  <pic:blipFill>
                    <a:blip r:embed="rId12" cstate="print"/>
                    <a:srcRect/>
                    <a:stretch>
                      <a:fillRect/>
                    </a:stretch>
                  </pic:blipFill>
                  <pic:spPr bwMode="auto">
                    <a:xfrm>
                      <a:off x="0" y="0"/>
                      <a:ext cx="1534795" cy="898525"/>
                    </a:xfrm>
                    <a:prstGeom prst="rect">
                      <a:avLst/>
                    </a:prstGeom>
                    <a:noFill/>
                    <a:ln w="9525">
                      <a:noFill/>
                      <a:miter lim="800000"/>
                      <a:headEnd/>
                      <a:tailEnd/>
                    </a:ln>
                  </pic:spPr>
                </pic:pic>
              </a:graphicData>
            </a:graphic>
          </wp:inline>
        </w:drawing>
      </w:r>
      <w:r>
        <w:rPr>
          <w:noProof/>
          <w:sz w:val="22"/>
          <w:szCs w:val="22"/>
        </w:rPr>
        <w:drawing>
          <wp:inline distT="0" distB="0" distL="0" distR="0">
            <wp:extent cx="1121410" cy="890270"/>
            <wp:effectExtent l="19050" t="0" r="2540" b="0"/>
            <wp:docPr id="3" name="Picture 18" descr="Description: odontom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odontoma 5"/>
                    <pic:cNvPicPr>
                      <a:picLocks noChangeAspect="1" noChangeArrowheads="1"/>
                    </pic:cNvPicPr>
                  </pic:nvPicPr>
                  <pic:blipFill>
                    <a:blip r:embed="rId13" cstate="print"/>
                    <a:srcRect/>
                    <a:stretch>
                      <a:fillRect/>
                    </a:stretch>
                  </pic:blipFill>
                  <pic:spPr bwMode="auto">
                    <a:xfrm>
                      <a:off x="0" y="0"/>
                      <a:ext cx="1121410" cy="890270"/>
                    </a:xfrm>
                    <a:prstGeom prst="rect">
                      <a:avLst/>
                    </a:prstGeom>
                    <a:noFill/>
                    <a:ln w="9525">
                      <a:noFill/>
                      <a:miter lim="800000"/>
                      <a:headEnd/>
                      <a:tailEnd/>
                    </a:ln>
                  </pic:spPr>
                </pic:pic>
              </a:graphicData>
            </a:graphic>
          </wp:inline>
        </w:drawing>
      </w:r>
      <w:r>
        <w:rPr>
          <w:noProof/>
          <w:sz w:val="22"/>
          <w:szCs w:val="22"/>
        </w:rPr>
        <w:drawing>
          <wp:inline distT="0" distB="0" distL="0" distR="0">
            <wp:extent cx="683895" cy="890270"/>
            <wp:effectExtent l="19050" t="0" r="1905" b="0"/>
            <wp:docPr id="4" name="Picture 17" descr="Description: Odontom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Odontoma 6"/>
                    <pic:cNvPicPr>
                      <a:picLocks noChangeAspect="1" noChangeArrowheads="1"/>
                    </pic:cNvPicPr>
                  </pic:nvPicPr>
                  <pic:blipFill>
                    <a:blip r:embed="rId14" cstate="print"/>
                    <a:srcRect/>
                    <a:stretch>
                      <a:fillRect/>
                    </a:stretch>
                  </pic:blipFill>
                  <pic:spPr bwMode="auto">
                    <a:xfrm>
                      <a:off x="0" y="0"/>
                      <a:ext cx="683895" cy="890270"/>
                    </a:xfrm>
                    <a:prstGeom prst="rect">
                      <a:avLst/>
                    </a:prstGeom>
                    <a:noFill/>
                    <a:ln w="9525">
                      <a:noFill/>
                      <a:miter lim="800000"/>
                      <a:headEnd/>
                      <a:tailEnd/>
                    </a:ln>
                  </pic:spPr>
                </pic:pic>
              </a:graphicData>
            </a:graphic>
          </wp:inline>
        </w:drawing>
      </w:r>
      <w:r>
        <w:rPr>
          <w:noProof/>
          <w:sz w:val="22"/>
          <w:szCs w:val="22"/>
        </w:rPr>
        <w:drawing>
          <wp:inline distT="0" distB="0" distL="0" distR="0">
            <wp:extent cx="1852930" cy="954405"/>
            <wp:effectExtent l="19050" t="0" r="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852930" cy="954405"/>
                    </a:xfrm>
                    <a:prstGeom prst="rect">
                      <a:avLst/>
                    </a:prstGeom>
                    <a:noFill/>
                    <a:ln w="9525">
                      <a:noFill/>
                      <a:miter lim="800000"/>
                      <a:headEnd/>
                      <a:tailEnd/>
                    </a:ln>
                  </pic:spPr>
                </pic:pic>
              </a:graphicData>
            </a:graphic>
          </wp:inline>
        </w:drawing>
      </w:r>
    </w:p>
    <w:p w:rsidR="00515F46" w:rsidRPr="003578BA" w:rsidRDefault="00515F46" w:rsidP="00515F46">
      <w:pPr>
        <w:jc w:val="lowKashida"/>
        <w:rPr>
          <w:b/>
          <w:sz w:val="22"/>
          <w:szCs w:val="22"/>
        </w:rPr>
      </w:pPr>
      <w:r w:rsidRPr="003578BA">
        <w:rPr>
          <w:b/>
          <w:sz w:val="22"/>
          <w:szCs w:val="22"/>
        </w:rPr>
        <w:t xml:space="preserve">Figure 2. </w:t>
      </w:r>
      <w:r w:rsidRPr="003578BA">
        <w:rPr>
          <w:sz w:val="22"/>
          <w:szCs w:val="22"/>
        </w:rPr>
        <w:t>Preoperative CBCT; (a) axial view; (b) coronal view;(c) sagit</w:t>
      </w:r>
      <w:r>
        <w:rPr>
          <w:sz w:val="22"/>
          <w:szCs w:val="22"/>
        </w:rPr>
        <w:t>tal view; (d) orthopantomographical</w:t>
      </w:r>
      <w:r w:rsidRPr="003578BA">
        <w:rPr>
          <w:sz w:val="22"/>
          <w:szCs w:val="22"/>
        </w:rPr>
        <w:t xml:space="preserve"> view.</w:t>
      </w:r>
    </w:p>
    <w:p w:rsidR="00515F46" w:rsidRPr="003578BA" w:rsidRDefault="00515F46" w:rsidP="00515F46">
      <w:pPr>
        <w:jc w:val="lowKashida"/>
        <w:rPr>
          <w:b/>
          <w:sz w:val="22"/>
          <w:szCs w:val="22"/>
        </w:rPr>
      </w:pPr>
    </w:p>
    <w:p w:rsidR="00515F46" w:rsidRPr="003578BA" w:rsidRDefault="00515F46" w:rsidP="00515F46">
      <w:pPr>
        <w:jc w:val="lowKashida"/>
        <w:rPr>
          <w:b/>
          <w:sz w:val="22"/>
          <w:szCs w:val="22"/>
        </w:rPr>
      </w:pPr>
    </w:p>
    <w:p w:rsidR="00515F46" w:rsidRPr="003578BA" w:rsidRDefault="00515F46" w:rsidP="00515F46">
      <w:pPr>
        <w:jc w:val="lowKashida"/>
        <w:rPr>
          <w:b/>
          <w:sz w:val="22"/>
          <w:szCs w:val="22"/>
        </w:rPr>
      </w:pPr>
    </w:p>
    <w:p w:rsidR="00515F46" w:rsidRPr="003578BA" w:rsidRDefault="00515F46" w:rsidP="00515F46">
      <w:pPr>
        <w:jc w:val="lowKashida"/>
        <w:rPr>
          <w:sz w:val="22"/>
          <w:szCs w:val="22"/>
        </w:rPr>
      </w:pPr>
      <w:r>
        <w:rPr>
          <w:noProof/>
          <w:sz w:val="22"/>
          <w:szCs w:val="22"/>
        </w:rPr>
        <w:drawing>
          <wp:inline distT="0" distB="0" distL="0" distR="0">
            <wp:extent cx="1534795" cy="1264285"/>
            <wp:effectExtent l="19050" t="0" r="8255" b="0"/>
            <wp:docPr id="6" name="Picture 16" descr="Description: odontom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odontoma 38"/>
                    <pic:cNvPicPr>
                      <a:picLocks noChangeAspect="1" noChangeArrowheads="1"/>
                    </pic:cNvPicPr>
                  </pic:nvPicPr>
                  <pic:blipFill>
                    <a:blip r:embed="rId16" cstate="print"/>
                    <a:srcRect/>
                    <a:stretch>
                      <a:fillRect/>
                    </a:stretch>
                  </pic:blipFill>
                  <pic:spPr bwMode="auto">
                    <a:xfrm>
                      <a:off x="0" y="0"/>
                      <a:ext cx="1534795" cy="1264285"/>
                    </a:xfrm>
                    <a:prstGeom prst="rect">
                      <a:avLst/>
                    </a:prstGeom>
                    <a:noFill/>
                    <a:ln w="9525">
                      <a:noFill/>
                      <a:miter lim="800000"/>
                      <a:headEnd/>
                      <a:tailEnd/>
                    </a:ln>
                  </pic:spPr>
                </pic:pic>
              </a:graphicData>
            </a:graphic>
          </wp:inline>
        </w:drawing>
      </w:r>
      <w:r>
        <w:rPr>
          <w:noProof/>
          <w:sz w:val="22"/>
          <w:szCs w:val="22"/>
        </w:rPr>
        <w:drawing>
          <wp:inline distT="0" distB="0" distL="0" distR="0">
            <wp:extent cx="1471295" cy="1271905"/>
            <wp:effectExtent l="1905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1471295" cy="1271905"/>
                    </a:xfrm>
                    <a:prstGeom prst="rect">
                      <a:avLst/>
                    </a:prstGeom>
                    <a:noFill/>
                    <a:ln w="9525">
                      <a:noFill/>
                      <a:miter lim="800000"/>
                      <a:headEnd/>
                      <a:tailEnd/>
                    </a:ln>
                  </pic:spPr>
                </pic:pic>
              </a:graphicData>
            </a:graphic>
          </wp:inline>
        </w:drawing>
      </w:r>
    </w:p>
    <w:p w:rsidR="00515F46" w:rsidRPr="003578BA" w:rsidRDefault="00515F46" w:rsidP="00515F46">
      <w:pPr>
        <w:jc w:val="lowKashida"/>
        <w:rPr>
          <w:sz w:val="22"/>
          <w:szCs w:val="22"/>
        </w:rPr>
      </w:pPr>
      <w:r w:rsidRPr="003578BA">
        <w:rPr>
          <w:b/>
          <w:sz w:val="22"/>
          <w:szCs w:val="22"/>
        </w:rPr>
        <w:t xml:space="preserve">Figure 3. </w:t>
      </w:r>
      <w:r w:rsidRPr="003578BA">
        <w:rPr>
          <w:sz w:val="22"/>
          <w:szCs w:val="22"/>
        </w:rPr>
        <w:t xml:space="preserve">Intraoperative view </w:t>
      </w:r>
      <w:r>
        <w:rPr>
          <w:sz w:val="22"/>
          <w:szCs w:val="22"/>
        </w:rPr>
        <w:t>of the patient; (a) Apperance of the</w:t>
      </w:r>
      <w:r w:rsidRPr="003578BA">
        <w:rPr>
          <w:sz w:val="22"/>
          <w:szCs w:val="22"/>
        </w:rPr>
        <w:t xml:space="preserve"> intraosseous lesion after the bone cover </w:t>
      </w:r>
      <w:r>
        <w:rPr>
          <w:sz w:val="22"/>
          <w:szCs w:val="22"/>
        </w:rPr>
        <w:t xml:space="preserve">was </w:t>
      </w:r>
      <w:r w:rsidRPr="003578BA">
        <w:rPr>
          <w:sz w:val="22"/>
          <w:szCs w:val="22"/>
        </w:rPr>
        <w:t xml:space="preserve">removed; (b) </w:t>
      </w:r>
      <w:r>
        <w:rPr>
          <w:sz w:val="22"/>
          <w:szCs w:val="22"/>
        </w:rPr>
        <w:t>Apperance of the</w:t>
      </w:r>
      <w:r w:rsidRPr="003578BA">
        <w:rPr>
          <w:sz w:val="22"/>
          <w:szCs w:val="22"/>
        </w:rPr>
        <w:t xml:space="preserve"> bone cavity after </w:t>
      </w:r>
      <w:r>
        <w:rPr>
          <w:sz w:val="22"/>
          <w:szCs w:val="22"/>
        </w:rPr>
        <w:t xml:space="preserve">the </w:t>
      </w:r>
      <w:r w:rsidRPr="003578BA">
        <w:rPr>
          <w:sz w:val="22"/>
          <w:szCs w:val="22"/>
        </w:rPr>
        <w:t>enucleation of the lesion.</w:t>
      </w:r>
    </w:p>
    <w:p w:rsidR="00515F46" w:rsidRPr="003578BA" w:rsidRDefault="00515F46" w:rsidP="00515F46">
      <w:pPr>
        <w:jc w:val="lowKashida"/>
        <w:rPr>
          <w:b/>
          <w:sz w:val="22"/>
          <w:szCs w:val="22"/>
        </w:rPr>
      </w:pPr>
    </w:p>
    <w:p w:rsidR="00515F46" w:rsidRPr="003578BA" w:rsidRDefault="00515F46" w:rsidP="00515F46">
      <w:pPr>
        <w:jc w:val="lowKashida"/>
        <w:rPr>
          <w:b/>
          <w:sz w:val="22"/>
          <w:szCs w:val="22"/>
        </w:rPr>
      </w:pPr>
    </w:p>
    <w:p w:rsidR="00515F46" w:rsidRPr="003578BA" w:rsidRDefault="00515F46" w:rsidP="00515F46">
      <w:pPr>
        <w:jc w:val="lowKashida"/>
        <w:rPr>
          <w:b/>
          <w:sz w:val="22"/>
          <w:szCs w:val="22"/>
        </w:rPr>
      </w:pPr>
    </w:p>
    <w:p w:rsidR="00515F46" w:rsidRPr="003578BA" w:rsidRDefault="00515F46" w:rsidP="00515F46">
      <w:pPr>
        <w:jc w:val="lowKashida"/>
        <w:rPr>
          <w:sz w:val="22"/>
          <w:szCs w:val="22"/>
        </w:rPr>
      </w:pPr>
      <w:r>
        <w:rPr>
          <w:noProof/>
          <w:sz w:val="22"/>
          <w:szCs w:val="22"/>
        </w:rPr>
        <w:drawing>
          <wp:inline distT="0" distB="0" distL="0" distR="0">
            <wp:extent cx="1399540" cy="1113155"/>
            <wp:effectExtent l="19050" t="0" r="0" b="0"/>
            <wp:docPr id="8" name="Picture 15" descr="Description: Odontom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Odontoma 29"/>
                    <pic:cNvPicPr>
                      <a:picLocks noChangeAspect="1" noChangeArrowheads="1"/>
                    </pic:cNvPicPr>
                  </pic:nvPicPr>
                  <pic:blipFill>
                    <a:blip r:embed="rId18" cstate="print"/>
                    <a:srcRect/>
                    <a:stretch>
                      <a:fillRect/>
                    </a:stretch>
                  </pic:blipFill>
                  <pic:spPr bwMode="auto">
                    <a:xfrm>
                      <a:off x="0" y="0"/>
                      <a:ext cx="1399540" cy="1113155"/>
                    </a:xfrm>
                    <a:prstGeom prst="rect">
                      <a:avLst/>
                    </a:prstGeom>
                    <a:noFill/>
                    <a:ln w="9525">
                      <a:noFill/>
                      <a:miter lim="800000"/>
                      <a:headEnd/>
                      <a:tailEnd/>
                    </a:ln>
                  </pic:spPr>
                </pic:pic>
              </a:graphicData>
            </a:graphic>
          </wp:inline>
        </w:drawing>
      </w:r>
      <w:r>
        <w:rPr>
          <w:noProof/>
          <w:sz w:val="22"/>
          <w:szCs w:val="22"/>
        </w:rPr>
        <w:drawing>
          <wp:inline distT="0" distB="0" distL="0" distR="0">
            <wp:extent cx="1073150" cy="1105535"/>
            <wp:effectExtent l="19050" t="0" r="0" b="0"/>
            <wp:docPr id="9" name="Picture 14" descr="Description: Odontom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dontoma 30"/>
                    <pic:cNvPicPr>
                      <a:picLocks noChangeAspect="1" noChangeArrowheads="1"/>
                    </pic:cNvPicPr>
                  </pic:nvPicPr>
                  <pic:blipFill>
                    <a:blip r:embed="rId19" cstate="print"/>
                    <a:srcRect/>
                    <a:stretch>
                      <a:fillRect/>
                    </a:stretch>
                  </pic:blipFill>
                  <pic:spPr bwMode="auto">
                    <a:xfrm>
                      <a:off x="0" y="0"/>
                      <a:ext cx="1073150" cy="1105535"/>
                    </a:xfrm>
                    <a:prstGeom prst="rect">
                      <a:avLst/>
                    </a:prstGeom>
                    <a:noFill/>
                    <a:ln w="9525">
                      <a:noFill/>
                      <a:miter lim="800000"/>
                      <a:headEnd/>
                      <a:tailEnd/>
                    </a:ln>
                  </pic:spPr>
                </pic:pic>
              </a:graphicData>
            </a:graphic>
          </wp:inline>
        </w:drawing>
      </w:r>
      <w:r>
        <w:rPr>
          <w:noProof/>
          <w:sz w:val="22"/>
          <w:szCs w:val="22"/>
        </w:rPr>
        <w:drawing>
          <wp:inline distT="0" distB="0" distL="0" distR="0">
            <wp:extent cx="1248410" cy="986155"/>
            <wp:effectExtent l="19050" t="0" r="8890" b="0"/>
            <wp:docPr id="10" name="Picture 13" descr="Description: Odontom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Odontoma 31"/>
                    <pic:cNvPicPr>
                      <a:picLocks noChangeAspect="1" noChangeArrowheads="1"/>
                    </pic:cNvPicPr>
                  </pic:nvPicPr>
                  <pic:blipFill>
                    <a:blip r:embed="rId20" cstate="print"/>
                    <a:srcRect/>
                    <a:stretch>
                      <a:fillRect/>
                    </a:stretch>
                  </pic:blipFill>
                  <pic:spPr bwMode="auto">
                    <a:xfrm>
                      <a:off x="0" y="0"/>
                      <a:ext cx="1248410" cy="986155"/>
                    </a:xfrm>
                    <a:prstGeom prst="rect">
                      <a:avLst/>
                    </a:prstGeom>
                    <a:noFill/>
                    <a:ln w="9525">
                      <a:noFill/>
                      <a:miter lim="800000"/>
                      <a:headEnd/>
                      <a:tailEnd/>
                    </a:ln>
                  </pic:spPr>
                </pic:pic>
              </a:graphicData>
            </a:graphic>
          </wp:inline>
        </w:drawing>
      </w:r>
      <w:r>
        <w:rPr>
          <w:noProof/>
          <w:sz w:val="22"/>
          <w:szCs w:val="22"/>
        </w:rPr>
        <w:drawing>
          <wp:inline distT="0" distB="0" distL="0" distR="0">
            <wp:extent cx="1351915" cy="993775"/>
            <wp:effectExtent l="19050" t="0" r="635" b="0"/>
            <wp:docPr id="11" name="Picture 12" descr="Description: Odontom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dontoma 32"/>
                    <pic:cNvPicPr>
                      <a:picLocks noChangeAspect="1" noChangeArrowheads="1"/>
                    </pic:cNvPicPr>
                  </pic:nvPicPr>
                  <pic:blipFill>
                    <a:blip r:embed="rId21" cstate="print"/>
                    <a:srcRect/>
                    <a:stretch>
                      <a:fillRect/>
                    </a:stretch>
                  </pic:blipFill>
                  <pic:spPr bwMode="auto">
                    <a:xfrm>
                      <a:off x="0" y="0"/>
                      <a:ext cx="1351915" cy="993775"/>
                    </a:xfrm>
                    <a:prstGeom prst="rect">
                      <a:avLst/>
                    </a:prstGeom>
                    <a:noFill/>
                    <a:ln w="9525">
                      <a:noFill/>
                      <a:miter lim="800000"/>
                      <a:headEnd/>
                      <a:tailEnd/>
                    </a:ln>
                  </pic:spPr>
                </pic:pic>
              </a:graphicData>
            </a:graphic>
          </wp:inline>
        </w:drawing>
      </w:r>
    </w:p>
    <w:p w:rsidR="00515F46" w:rsidRPr="003578BA" w:rsidRDefault="00515F46" w:rsidP="00515F46">
      <w:pPr>
        <w:jc w:val="lowKashida"/>
        <w:rPr>
          <w:sz w:val="22"/>
          <w:szCs w:val="22"/>
        </w:rPr>
      </w:pPr>
      <w:r w:rsidRPr="003578BA">
        <w:rPr>
          <w:b/>
          <w:sz w:val="22"/>
          <w:szCs w:val="22"/>
        </w:rPr>
        <w:t xml:space="preserve">Figure 4. </w:t>
      </w:r>
      <w:r w:rsidRPr="003578BA">
        <w:rPr>
          <w:sz w:val="22"/>
          <w:szCs w:val="22"/>
        </w:rPr>
        <w:t xml:space="preserve">(a) </w:t>
      </w:r>
      <w:r>
        <w:rPr>
          <w:sz w:val="22"/>
          <w:szCs w:val="22"/>
        </w:rPr>
        <w:t>Apperance of the</w:t>
      </w:r>
      <w:r w:rsidRPr="003578BA">
        <w:rPr>
          <w:sz w:val="22"/>
          <w:szCs w:val="22"/>
        </w:rPr>
        <w:t xml:space="preserve"> donor site </w:t>
      </w:r>
      <w:r>
        <w:rPr>
          <w:sz w:val="22"/>
          <w:szCs w:val="22"/>
        </w:rPr>
        <w:t>of</w:t>
      </w:r>
      <w:r w:rsidRPr="003578BA">
        <w:rPr>
          <w:sz w:val="22"/>
          <w:szCs w:val="22"/>
        </w:rPr>
        <w:t xml:space="preserve"> iliac bone graft; (b) The autogenous bone graft harvested from the left iliac bone; (c) </w:t>
      </w:r>
      <w:r>
        <w:rPr>
          <w:sz w:val="22"/>
          <w:szCs w:val="22"/>
        </w:rPr>
        <w:t>Apperance of the</w:t>
      </w:r>
      <w:r w:rsidRPr="003578BA">
        <w:rPr>
          <w:sz w:val="22"/>
          <w:szCs w:val="22"/>
        </w:rPr>
        <w:t xml:space="preserve"> bone cavity after filling with autogenous bone graft; (d) iliac bone cover</w:t>
      </w:r>
      <w:r>
        <w:rPr>
          <w:sz w:val="22"/>
          <w:szCs w:val="22"/>
        </w:rPr>
        <w:t xml:space="preserve"> fitted to the bone cavity</w:t>
      </w:r>
      <w:r w:rsidRPr="003578BA">
        <w:rPr>
          <w:sz w:val="22"/>
          <w:szCs w:val="22"/>
        </w:rPr>
        <w:t>.</w:t>
      </w:r>
    </w:p>
    <w:p w:rsidR="00515F46" w:rsidRPr="003578BA" w:rsidRDefault="00515F46" w:rsidP="00515F46">
      <w:pPr>
        <w:jc w:val="lowKashida"/>
        <w:rPr>
          <w:b/>
          <w:sz w:val="22"/>
          <w:szCs w:val="22"/>
        </w:rPr>
      </w:pPr>
    </w:p>
    <w:p w:rsidR="00515F46" w:rsidRPr="003578BA" w:rsidRDefault="00515F46" w:rsidP="00515F46">
      <w:pPr>
        <w:jc w:val="lowKashida"/>
        <w:rPr>
          <w:sz w:val="22"/>
          <w:szCs w:val="22"/>
        </w:rPr>
      </w:pPr>
      <w:r>
        <w:rPr>
          <w:noProof/>
          <w:sz w:val="22"/>
          <w:szCs w:val="22"/>
        </w:rPr>
        <w:lastRenderedPageBreak/>
        <w:drawing>
          <wp:inline distT="0" distB="0" distL="0" distR="0">
            <wp:extent cx="1566545" cy="1296035"/>
            <wp:effectExtent l="19050" t="0" r="0" b="0"/>
            <wp:docPr id="12" name="Picture 11" descr="Description: Odontom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Odontoma 33"/>
                    <pic:cNvPicPr>
                      <a:picLocks noChangeAspect="1" noChangeArrowheads="1"/>
                    </pic:cNvPicPr>
                  </pic:nvPicPr>
                  <pic:blipFill>
                    <a:blip r:embed="rId22" cstate="print"/>
                    <a:srcRect/>
                    <a:stretch>
                      <a:fillRect/>
                    </a:stretch>
                  </pic:blipFill>
                  <pic:spPr bwMode="auto">
                    <a:xfrm>
                      <a:off x="0" y="0"/>
                      <a:ext cx="1566545" cy="1296035"/>
                    </a:xfrm>
                    <a:prstGeom prst="rect">
                      <a:avLst/>
                    </a:prstGeom>
                    <a:noFill/>
                    <a:ln w="9525">
                      <a:noFill/>
                      <a:miter lim="800000"/>
                      <a:headEnd/>
                      <a:tailEnd/>
                    </a:ln>
                  </pic:spPr>
                </pic:pic>
              </a:graphicData>
            </a:graphic>
          </wp:inline>
        </w:drawing>
      </w:r>
    </w:p>
    <w:p w:rsidR="00515F46" w:rsidRPr="003578BA" w:rsidRDefault="00515F46" w:rsidP="00515F46">
      <w:pPr>
        <w:jc w:val="lowKashida"/>
        <w:rPr>
          <w:sz w:val="22"/>
          <w:szCs w:val="22"/>
        </w:rPr>
      </w:pPr>
      <w:r w:rsidRPr="003578BA">
        <w:rPr>
          <w:b/>
          <w:sz w:val="22"/>
          <w:szCs w:val="22"/>
        </w:rPr>
        <w:t xml:space="preserve">Figure 5. </w:t>
      </w:r>
      <w:r w:rsidRPr="003578BA">
        <w:rPr>
          <w:sz w:val="22"/>
          <w:szCs w:val="22"/>
        </w:rPr>
        <w:t xml:space="preserve">The </w:t>
      </w:r>
      <w:r>
        <w:rPr>
          <w:sz w:val="22"/>
          <w:szCs w:val="22"/>
        </w:rPr>
        <w:t xml:space="preserve">intraoperative </w:t>
      </w:r>
      <w:r w:rsidRPr="003578BA">
        <w:rPr>
          <w:sz w:val="22"/>
          <w:szCs w:val="22"/>
        </w:rPr>
        <w:t xml:space="preserve">view </w:t>
      </w:r>
      <w:r>
        <w:rPr>
          <w:sz w:val="22"/>
          <w:szCs w:val="22"/>
        </w:rPr>
        <w:t>of the reconstruction plate fixed on</w:t>
      </w:r>
      <w:r w:rsidRPr="003578BA">
        <w:rPr>
          <w:sz w:val="22"/>
          <w:szCs w:val="22"/>
        </w:rPr>
        <w:t xml:space="preserve">to the iliac bone graft and the mandible by mini </w:t>
      </w:r>
      <w:r>
        <w:rPr>
          <w:sz w:val="22"/>
          <w:szCs w:val="22"/>
        </w:rPr>
        <w:t xml:space="preserve">titan </w:t>
      </w:r>
      <w:r w:rsidRPr="003578BA">
        <w:rPr>
          <w:sz w:val="22"/>
          <w:szCs w:val="22"/>
        </w:rPr>
        <w:t>screws.</w:t>
      </w:r>
    </w:p>
    <w:p w:rsidR="00515F46" w:rsidRPr="003578BA" w:rsidRDefault="00515F46" w:rsidP="00515F46">
      <w:pPr>
        <w:jc w:val="lowKashida"/>
        <w:rPr>
          <w:sz w:val="22"/>
          <w:szCs w:val="22"/>
        </w:rPr>
      </w:pPr>
    </w:p>
    <w:p w:rsidR="00515F46" w:rsidRPr="003578BA" w:rsidRDefault="00515F46" w:rsidP="00515F46">
      <w:pPr>
        <w:jc w:val="lowKashida"/>
        <w:rPr>
          <w:b/>
          <w:sz w:val="22"/>
          <w:szCs w:val="22"/>
        </w:rPr>
      </w:pPr>
    </w:p>
    <w:p w:rsidR="00515F46" w:rsidRPr="003578BA" w:rsidRDefault="00515F46" w:rsidP="00515F46">
      <w:pPr>
        <w:jc w:val="lowKashida"/>
        <w:rPr>
          <w:sz w:val="22"/>
          <w:szCs w:val="22"/>
        </w:rPr>
      </w:pPr>
      <w:r>
        <w:rPr>
          <w:noProof/>
          <w:sz w:val="22"/>
          <w:szCs w:val="22"/>
        </w:rPr>
        <w:drawing>
          <wp:inline distT="0" distB="0" distL="0" distR="0">
            <wp:extent cx="2154555" cy="1296035"/>
            <wp:effectExtent l="19050" t="0" r="0" b="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2154555" cy="1296035"/>
                    </a:xfrm>
                    <a:prstGeom prst="rect">
                      <a:avLst/>
                    </a:prstGeom>
                    <a:noFill/>
                    <a:ln w="9525">
                      <a:noFill/>
                      <a:miter lim="800000"/>
                      <a:headEnd/>
                      <a:tailEnd/>
                    </a:ln>
                  </pic:spPr>
                </pic:pic>
              </a:graphicData>
            </a:graphic>
          </wp:inline>
        </w:drawing>
      </w:r>
    </w:p>
    <w:p w:rsidR="00515F46" w:rsidRPr="003578BA" w:rsidRDefault="00515F46" w:rsidP="00515F46">
      <w:pPr>
        <w:jc w:val="lowKashida"/>
        <w:rPr>
          <w:sz w:val="22"/>
          <w:szCs w:val="22"/>
        </w:rPr>
      </w:pPr>
      <w:r w:rsidRPr="003578BA">
        <w:rPr>
          <w:b/>
          <w:sz w:val="22"/>
          <w:szCs w:val="22"/>
        </w:rPr>
        <w:t xml:space="preserve">Figure 6. </w:t>
      </w:r>
      <w:r w:rsidRPr="003578BA">
        <w:rPr>
          <w:sz w:val="22"/>
          <w:szCs w:val="22"/>
        </w:rPr>
        <w:t xml:space="preserve">Numerous enucleated </w:t>
      </w:r>
      <w:r>
        <w:rPr>
          <w:sz w:val="22"/>
          <w:szCs w:val="22"/>
        </w:rPr>
        <w:t xml:space="preserve">compound </w:t>
      </w:r>
      <w:r w:rsidRPr="003578BA">
        <w:rPr>
          <w:sz w:val="22"/>
          <w:szCs w:val="22"/>
        </w:rPr>
        <w:t>odontomas, canine and supernumerary teeth.</w:t>
      </w:r>
    </w:p>
    <w:p w:rsidR="00515F46" w:rsidRPr="003578BA" w:rsidRDefault="00515F46" w:rsidP="00515F46">
      <w:pPr>
        <w:jc w:val="lowKashida"/>
        <w:rPr>
          <w:sz w:val="22"/>
          <w:szCs w:val="22"/>
        </w:rPr>
      </w:pPr>
    </w:p>
    <w:p w:rsidR="00515F46" w:rsidRPr="003578BA" w:rsidRDefault="00515F46" w:rsidP="00515F46">
      <w:pPr>
        <w:jc w:val="lowKashida"/>
        <w:rPr>
          <w:b/>
          <w:sz w:val="22"/>
          <w:szCs w:val="22"/>
        </w:rPr>
      </w:pPr>
    </w:p>
    <w:p w:rsidR="00515F46" w:rsidRPr="003578BA" w:rsidRDefault="00515F46" w:rsidP="00515F46">
      <w:pPr>
        <w:jc w:val="lowKashida"/>
        <w:rPr>
          <w:sz w:val="22"/>
          <w:szCs w:val="22"/>
        </w:rPr>
      </w:pPr>
      <w:r>
        <w:rPr>
          <w:noProof/>
          <w:sz w:val="22"/>
          <w:szCs w:val="22"/>
        </w:rPr>
        <w:drawing>
          <wp:inline distT="0" distB="0" distL="0" distR="0">
            <wp:extent cx="2751455" cy="1336040"/>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751455" cy="1336040"/>
                    </a:xfrm>
                    <a:prstGeom prst="rect">
                      <a:avLst/>
                    </a:prstGeom>
                    <a:noFill/>
                    <a:ln w="9525">
                      <a:noFill/>
                      <a:miter lim="800000"/>
                      <a:headEnd/>
                      <a:tailEnd/>
                    </a:ln>
                  </pic:spPr>
                </pic:pic>
              </a:graphicData>
            </a:graphic>
          </wp:inline>
        </w:drawing>
      </w:r>
    </w:p>
    <w:p w:rsidR="00515F46" w:rsidRPr="003578BA" w:rsidRDefault="00515F46" w:rsidP="00515F46">
      <w:pPr>
        <w:jc w:val="lowKashida"/>
        <w:rPr>
          <w:sz w:val="22"/>
          <w:szCs w:val="22"/>
        </w:rPr>
      </w:pPr>
      <w:r w:rsidRPr="003578BA">
        <w:rPr>
          <w:b/>
          <w:sz w:val="22"/>
          <w:szCs w:val="22"/>
        </w:rPr>
        <w:t xml:space="preserve">Figure 7. </w:t>
      </w:r>
      <w:r>
        <w:rPr>
          <w:sz w:val="22"/>
          <w:szCs w:val="22"/>
        </w:rPr>
        <w:t>Postoperative orthopantomograph</w:t>
      </w:r>
      <w:r w:rsidRPr="003578BA">
        <w:rPr>
          <w:sz w:val="22"/>
          <w:szCs w:val="22"/>
        </w:rPr>
        <w:t xml:space="preserve"> of the patient.</w:t>
      </w:r>
    </w:p>
    <w:p w:rsidR="00515F46" w:rsidRPr="003578BA" w:rsidRDefault="00515F46" w:rsidP="00515F46">
      <w:pPr>
        <w:jc w:val="lowKashida"/>
        <w:rPr>
          <w:sz w:val="22"/>
          <w:szCs w:val="22"/>
        </w:rPr>
      </w:pPr>
    </w:p>
    <w:p w:rsidR="00515F46" w:rsidRPr="003578BA" w:rsidRDefault="00515F46" w:rsidP="00515F46">
      <w:pPr>
        <w:jc w:val="lowKashida"/>
        <w:rPr>
          <w:b/>
          <w:sz w:val="22"/>
          <w:szCs w:val="22"/>
        </w:rPr>
      </w:pPr>
    </w:p>
    <w:p w:rsidR="00515F46" w:rsidRPr="003578BA" w:rsidRDefault="00515F46" w:rsidP="00515F46">
      <w:pPr>
        <w:jc w:val="lowKashida"/>
        <w:rPr>
          <w:sz w:val="22"/>
          <w:szCs w:val="22"/>
        </w:rPr>
      </w:pPr>
      <w:r w:rsidRPr="003578BA">
        <w:rPr>
          <w:snapToGrid w:val="0"/>
          <w:color w:val="000000"/>
          <w:w w:val="0"/>
          <w:sz w:val="22"/>
          <w:szCs w:val="22"/>
          <w:u w:color="000000"/>
          <w:bdr w:val="none" w:sz="0" w:space="0" w:color="000000"/>
          <w:shd w:val="clear" w:color="000000" w:fill="000000"/>
        </w:rPr>
        <w:t xml:space="preserve"> </w:t>
      </w:r>
      <w:r>
        <w:rPr>
          <w:noProof/>
          <w:sz w:val="22"/>
          <w:szCs w:val="22"/>
        </w:rPr>
        <w:drawing>
          <wp:inline distT="0" distB="0" distL="0" distR="0">
            <wp:extent cx="1670050" cy="1311910"/>
            <wp:effectExtent l="19050" t="0" r="6350" b="0"/>
            <wp:docPr id="15" name="Picture 10" descr="Description: Odontom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Odontoma 39"/>
                    <pic:cNvPicPr>
                      <a:picLocks noChangeAspect="1" noChangeArrowheads="1"/>
                    </pic:cNvPicPr>
                  </pic:nvPicPr>
                  <pic:blipFill>
                    <a:blip r:embed="rId25" cstate="print"/>
                    <a:srcRect/>
                    <a:stretch>
                      <a:fillRect/>
                    </a:stretch>
                  </pic:blipFill>
                  <pic:spPr bwMode="auto">
                    <a:xfrm>
                      <a:off x="0" y="0"/>
                      <a:ext cx="1670050" cy="1311910"/>
                    </a:xfrm>
                    <a:prstGeom prst="rect">
                      <a:avLst/>
                    </a:prstGeom>
                    <a:noFill/>
                    <a:ln w="9525">
                      <a:noFill/>
                      <a:miter lim="800000"/>
                      <a:headEnd/>
                      <a:tailEnd/>
                    </a:ln>
                  </pic:spPr>
                </pic:pic>
              </a:graphicData>
            </a:graphic>
          </wp:inline>
        </w:drawing>
      </w:r>
      <w:r>
        <w:rPr>
          <w:noProof/>
          <w:sz w:val="22"/>
          <w:szCs w:val="22"/>
        </w:rPr>
        <w:drawing>
          <wp:inline distT="0" distB="0" distL="0" distR="0">
            <wp:extent cx="2369185" cy="1296035"/>
            <wp:effectExtent l="19050" t="0" r="0" b="0"/>
            <wp:docPr id="16" name="Picture 9" descr="Description: Odontom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Odontoma 40"/>
                    <pic:cNvPicPr>
                      <a:picLocks noChangeAspect="1" noChangeArrowheads="1"/>
                    </pic:cNvPicPr>
                  </pic:nvPicPr>
                  <pic:blipFill>
                    <a:blip r:embed="rId26" cstate="print"/>
                    <a:srcRect/>
                    <a:stretch>
                      <a:fillRect/>
                    </a:stretch>
                  </pic:blipFill>
                  <pic:spPr bwMode="auto">
                    <a:xfrm>
                      <a:off x="0" y="0"/>
                      <a:ext cx="2369185" cy="1296035"/>
                    </a:xfrm>
                    <a:prstGeom prst="rect">
                      <a:avLst/>
                    </a:prstGeom>
                    <a:noFill/>
                    <a:ln w="9525">
                      <a:noFill/>
                      <a:miter lim="800000"/>
                      <a:headEnd/>
                      <a:tailEnd/>
                    </a:ln>
                  </pic:spPr>
                </pic:pic>
              </a:graphicData>
            </a:graphic>
          </wp:inline>
        </w:drawing>
      </w:r>
    </w:p>
    <w:p w:rsidR="00515F46" w:rsidRPr="003578BA" w:rsidRDefault="00515F46" w:rsidP="00515F46">
      <w:pPr>
        <w:jc w:val="lowKashida"/>
        <w:rPr>
          <w:sz w:val="22"/>
          <w:szCs w:val="22"/>
        </w:rPr>
      </w:pPr>
      <w:r w:rsidRPr="003578BA">
        <w:rPr>
          <w:b/>
          <w:sz w:val="22"/>
          <w:szCs w:val="22"/>
        </w:rPr>
        <w:t>Figure 8.</w:t>
      </w:r>
      <w:r w:rsidRPr="003578BA">
        <w:rPr>
          <w:sz w:val="22"/>
          <w:szCs w:val="22"/>
        </w:rPr>
        <w:t xml:space="preserve"> Initial; (a) Intrao</w:t>
      </w:r>
      <w:r>
        <w:rPr>
          <w:sz w:val="22"/>
          <w:szCs w:val="22"/>
        </w:rPr>
        <w:t>ral view; (b) Orthopantomographical</w:t>
      </w:r>
      <w:r w:rsidRPr="003578BA">
        <w:rPr>
          <w:sz w:val="22"/>
          <w:szCs w:val="22"/>
        </w:rPr>
        <w:t xml:space="preserve"> view of the patient.</w:t>
      </w:r>
    </w:p>
    <w:p w:rsidR="00515F46" w:rsidRPr="003578BA" w:rsidRDefault="00515F46" w:rsidP="00515F46">
      <w:pPr>
        <w:jc w:val="lowKashida"/>
        <w:rPr>
          <w:sz w:val="22"/>
          <w:szCs w:val="22"/>
        </w:rPr>
      </w:pPr>
    </w:p>
    <w:p w:rsidR="00515F46" w:rsidRPr="003578BA" w:rsidRDefault="00515F46" w:rsidP="00515F46">
      <w:pPr>
        <w:jc w:val="lowKashida"/>
        <w:rPr>
          <w:b/>
          <w:sz w:val="22"/>
          <w:szCs w:val="22"/>
        </w:rPr>
      </w:pPr>
    </w:p>
    <w:p w:rsidR="00515F46" w:rsidRPr="003578BA" w:rsidRDefault="00515F46" w:rsidP="00515F46">
      <w:pPr>
        <w:jc w:val="lowKashida"/>
        <w:rPr>
          <w:sz w:val="22"/>
          <w:szCs w:val="22"/>
        </w:rPr>
      </w:pPr>
      <w:r w:rsidRPr="003578BA">
        <w:rPr>
          <w:snapToGrid w:val="0"/>
          <w:color w:val="000000"/>
          <w:w w:val="0"/>
          <w:sz w:val="22"/>
          <w:szCs w:val="22"/>
          <w:u w:color="000000"/>
          <w:bdr w:val="none" w:sz="0" w:space="0" w:color="000000"/>
          <w:shd w:val="clear" w:color="000000" w:fill="000000"/>
        </w:rPr>
        <w:t xml:space="preserve">  </w:t>
      </w:r>
      <w:r>
        <w:rPr>
          <w:noProof/>
          <w:sz w:val="22"/>
          <w:szCs w:val="22"/>
        </w:rPr>
        <w:drawing>
          <wp:inline distT="0" distB="0" distL="0" distR="0">
            <wp:extent cx="1454785" cy="962025"/>
            <wp:effectExtent l="19050" t="0" r="0" b="0"/>
            <wp:docPr id="17" name="Picture 8" descr="Description: Odontoma 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Odontoma 2o"/>
                    <pic:cNvPicPr>
                      <a:picLocks noChangeAspect="1" noChangeArrowheads="1"/>
                    </pic:cNvPicPr>
                  </pic:nvPicPr>
                  <pic:blipFill>
                    <a:blip r:embed="rId27" cstate="print"/>
                    <a:srcRect/>
                    <a:stretch>
                      <a:fillRect/>
                    </a:stretch>
                  </pic:blipFill>
                  <pic:spPr bwMode="auto">
                    <a:xfrm>
                      <a:off x="0" y="0"/>
                      <a:ext cx="1454785" cy="962025"/>
                    </a:xfrm>
                    <a:prstGeom prst="rect">
                      <a:avLst/>
                    </a:prstGeom>
                    <a:noFill/>
                    <a:ln w="9525">
                      <a:noFill/>
                      <a:miter lim="800000"/>
                      <a:headEnd/>
                      <a:tailEnd/>
                    </a:ln>
                  </pic:spPr>
                </pic:pic>
              </a:graphicData>
            </a:graphic>
          </wp:inline>
        </w:drawing>
      </w:r>
      <w:r>
        <w:rPr>
          <w:noProof/>
          <w:sz w:val="22"/>
          <w:szCs w:val="22"/>
        </w:rPr>
        <w:drawing>
          <wp:inline distT="0" distB="0" distL="0" distR="0">
            <wp:extent cx="1423035" cy="930275"/>
            <wp:effectExtent l="19050" t="0" r="5715" b="0"/>
            <wp:docPr id="18" name="Picture 7" descr="Description: odontom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odontoma 22"/>
                    <pic:cNvPicPr>
                      <a:picLocks noChangeAspect="1" noChangeArrowheads="1"/>
                    </pic:cNvPicPr>
                  </pic:nvPicPr>
                  <pic:blipFill>
                    <a:blip r:embed="rId28" cstate="print"/>
                    <a:srcRect/>
                    <a:stretch>
                      <a:fillRect/>
                    </a:stretch>
                  </pic:blipFill>
                  <pic:spPr bwMode="auto">
                    <a:xfrm>
                      <a:off x="0" y="0"/>
                      <a:ext cx="1423035" cy="930275"/>
                    </a:xfrm>
                    <a:prstGeom prst="rect">
                      <a:avLst/>
                    </a:prstGeom>
                    <a:noFill/>
                    <a:ln w="9525">
                      <a:noFill/>
                      <a:miter lim="800000"/>
                      <a:headEnd/>
                      <a:tailEnd/>
                    </a:ln>
                  </pic:spPr>
                </pic:pic>
              </a:graphicData>
            </a:graphic>
          </wp:inline>
        </w:drawing>
      </w:r>
      <w:r>
        <w:rPr>
          <w:noProof/>
          <w:sz w:val="22"/>
          <w:szCs w:val="22"/>
        </w:rPr>
        <w:drawing>
          <wp:inline distT="0" distB="0" distL="0" distR="0">
            <wp:extent cx="723265" cy="962025"/>
            <wp:effectExtent l="19050" t="0" r="635" b="0"/>
            <wp:docPr id="19" name="Picture 6" descr="Description: odontom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dontoma 27"/>
                    <pic:cNvPicPr>
                      <a:picLocks noChangeAspect="1" noChangeArrowheads="1"/>
                    </pic:cNvPicPr>
                  </pic:nvPicPr>
                  <pic:blipFill>
                    <a:blip r:embed="rId29" cstate="print"/>
                    <a:srcRect/>
                    <a:stretch>
                      <a:fillRect/>
                    </a:stretch>
                  </pic:blipFill>
                  <pic:spPr bwMode="auto">
                    <a:xfrm>
                      <a:off x="0" y="0"/>
                      <a:ext cx="723265" cy="962025"/>
                    </a:xfrm>
                    <a:prstGeom prst="rect">
                      <a:avLst/>
                    </a:prstGeom>
                    <a:noFill/>
                    <a:ln w="9525">
                      <a:noFill/>
                      <a:miter lim="800000"/>
                      <a:headEnd/>
                      <a:tailEnd/>
                    </a:ln>
                  </pic:spPr>
                </pic:pic>
              </a:graphicData>
            </a:graphic>
          </wp:inline>
        </w:drawing>
      </w:r>
    </w:p>
    <w:p w:rsidR="00515F46" w:rsidRPr="003578BA" w:rsidRDefault="00515F46" w:rsidP="00515F46">
      <w:pPr>
        <w:jc w:val="lowKashida"/>
        <w:rPr>
          <w:sz w:val="22"/>
          <w:szCs w:val="22"/>
        </w:rPr>
      </w:pPr>
      <w:r w:rsidRPr="003578BA">
        <w:rPr>
          <w:b/>
          <w:sz w:val="22"/>
          <w:szCs w:val="22"/>
        </w:rPr>
        <w:t>Figure 9.</w:t>
      </w:r>
      <w:r w:rsidRPr="003578BA">
        <w:rPr>
          <w:sz w:val="22"/>
          <w:szCs w:val="22"/>
        </w:rPr>
        <w:t xml:space="preserve"> Preoperative CBCT; a.axial view, b. coronal view, c. sagittal view.</w:t>
      </w:r>
    </w:p>
    <w:p w:rsidR="00515F46" w:rsidRPr="003578BA" w:rsidRDefault="00515F46" w:rsidP="00515F46">
      <w:pPr>
        <w:jc w:val="lowKashida"/>
        <w:rPr>
          <w:b/>
          <w:sz w:val="22"/>
          <w:szCs w:val="22"/>
        </w:rPr>
      </w:pPr>
    </w:p>
    <w:p w:rsidR="00515F46" w:rsidRPr="003578BA" w:rsidRDefault="00515F46" w:rsidP="00515F46">
      <w:pPr>
        <w:jc w:val="lowKashida"/>
        <w:rPr>
          <w:sz w:val="22"/>
          <w:szCs w:val="22"/>
        </w:rPr>
      </w:pPr>
      <w:r>
        <w:rPr>
          <w:noProof/>
          <w:sz w:val="22"/>
          <w:szCs w:val="22"/>
        </w:rPr>
        <w:lastRenderedPageBreak/>
        <w:drawing>
          <wp:inline distT="0" distB="0" distL="0" distR="0">
            <wp:extent cx="1009650" cy="1041400"/>
            <wp:effectExtent l="19050" t="0" r="0" b="0"/>
            <wp:docPr id="20" name="Picture 5" descr="Description: Odontom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Odontoma 41"/>
                    <pic:cNvPicPr>
                      <a:picLocks noChangeAspect="1" noChangeArrowheads="1"/>
                    </pic:cNvPicPr>
                  </pic:nvPicPr>
                  <pic:blipFill>
                    <a:blip r:embed="rId30" cstate="print"/>
                    <a:srcRect/>
                    <a:stretch>
                      <a:fillRect/>
                    </a:stretch>
                  </pic:blipFill>
                  <pic:spPr bwMode="auto">
                    <a:xfrm>
                      <a:off x="0" y="0"/>
                      <a:ext cx="1009650" cy="1041400"/>
                    </a:xfrm>
                    <a:prstGeom prst="rect">
                      <a:avLst/>
                    </a:prstGeom>
                    <a:noFill/>
                    <a:ln w="9525">
                      <a:noFill/>
                      <a:miter lim="800000"/>
                      <a:headEnd/>
                      <a:tailEnd/>
                    </a:ln>
                  </pic:spPr>
                </pic:pic>
              </a:graphicData>
            </a:graphic>
          </wp:inline>
        </w:drawing>
      </w:r>
      <w:r>
        <w:rPr>
          <w:noProof/>
          <w:sz w:val="22"/>
          <w:szCs w:val="22"/>
        </w:rPr>
        <w:drawing>
          <wp:inline distT="0" distB="0" distL="0" distR="0">
            <wp:extent cx="1399540" cy="1041400"/>
            <wp:effectExtent l="19050" t="0" r="0" b="0"/>
            <wp:docPr id="21" name="Picture 4" descr="Description: Odontom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Odontoma 42"/>
                    <pic:cNvPicPr>
                      <a:picLocks noChangeAspect="1" noChangeArrowheads="1"/>
                    </pic:cNvPicPr>
                  </pic:nvPicPr>
                  <pic:blipFill>
                    <a:blip r:embed="rId31" cstate="print"/>
                    <a:srcRect/>
                    <a:stretch>
                      <a:fillRect/>
                    </a:stretch>
                  </pic:blipFill>
                  <pic:spPr bwMode="auto">
                    <a:xfrm>
                      <a:off x="0" y="0"/>
                      <a:ext cx="1399540" cy="1041400"/>
                    </a:xfrm>
                    <a:prstGeom prst="rect">
                      <a:avLst/>
                    </a:prstGeom>
                    <a:noFill/>
                    <a:ln w="9525">
                      <a:noFill/>
                      <a:miter lim="800000"/>
                      <a:headEnd/>
                      <a:tailEnd/>
                    </a:ln>
                  </pic:spPr>
                </pic:pic>
              </a:graphicData>
            </a:graphic>
          </wp:inline>
        </w:drawing>
      </w:r>
      <w:r>
        <w:rPr>
          <w:noProof/>
          <w:sz w:val="22"/>
          <w:szCs w:val="22"/>
        </w:rPr>
        <w:drawing>
          <wp:inline distT="0" distB="0" distL="0" distR="0">
            <wp:extent cx="1383665" cy="1049655"/>
            <wp:effectExtent l="19050" t="0" r="6985" b="0"/>
            <wp:docPr id="22" name="Picture 3" descr="Description: Odontom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Odontoma 43"/>
                    <pic:cNvPicPr>
                      <a:picLocks noChangeAspect="1" noChangeArrowheads="1"/>
                    </pic:cNvPicPr>
                  </pic:nvPicPr>
                  <pic:blipFill>
                    <a:blip r:embed="rId32" cstate="print"/>
                    <a:srcRect/>
                    <a:stretch>
                      <a:fillRect/>
                    </a:stretch>
                  </pic:blipFill>
                  <pic:spPr bwMode="auto">
                    <a:xfrm>
                      <a:off x="0" y="0"/>
                      <a:ext cx="1383665" cy="1049655"/>
                    </a:xfrm>
                    <a:prstGeom prst="rect">
                      <a:avLst/>
                    </a:prstGeom>
                    <a:noFill/>
                    <a:ln w="9525">
                      <a:noFill/>
                      <a:miter lim="800000"/>
                      <a:headEnd/>
                      <a:tailEnd/>
                    </a:ln>
                  </pic:spPr>
                </pic:pic>
              </a:graphicData>
            </a:graphic>
          </wp:inline>
        </w:drawing>
      </w:r>
      <w:r>
        <w:rPr>
          <w:noProof/>
          <w:sz w:val="22"/>
          <w:szCs w:val="22"/>
        </w:rPr>
        <w:drawing>
          <wp:inline distT="0" distB="0" distL="0" distR="0">
            <wp:extent cx="1494790" cy="1065530"/>
            <wp:effectExtent l="1905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1494790" cy="1065530"/>
                    </a:xfrm>
                    <a:prstGeom prst="rect">
                      <a:avLst/>
                    </a:prstGeom>
                    <a:noFill/>
                    <a:ln w="9525">
                      <a:noFill/>
                      <a:miter lim="800000"/>
                      <a:headEnd/>
                      <a:tailEnd/>
                    </a:ln>
                  </pic:spPr>
                </pic:pic>
              </a:graphicData>
            </a:graphic>
          </wp:inline>
        </w:drawing>
      </w:r>
    </w:p>
    <w:p w:rsidR="00515F46" w:rsidRPr="003578BA" w:rsidRDefault="00515F46" w:rsidP="00515F46">
      <w:pPr>
        <w:jc w:val="lowKashida"/>
        <w:rPr>
          <w:sz w:val="22"/>
          <w:szCs w:val="22"/>
        </w:rPr>
      </w:pPr>
      <w:r w:rsidRPr="003578BA">
        <w:rPr>
          <w:b/>
          <w:sz w:val="22"/>
          <w:szCs w:val="22"/>
        </w:rPr>
        <w:t xml:space="preserve">Figure 10. </w:t>
      </w:r>
      <w:r w:rsidRPr="003578BA">
        <w:rPr>
          <w:sz w:val="22"/>
          <w:szCs w:val="22"/>
        </w:rPr>
        <w:t xml:space="preserve">(a) Adaptation of the reconstruction plate </w:t>
      </w:r>
      <w:r>
        <w:rPr>
          <w:sz w:val="22"/>
          <w:szCs w:val="22"/>
        </w:rPr>
        <w:t>on</w:t>
      </w:r>
      <w:r w:rsidRPr="003578BA">
        <w:rPr>
          <w:sz w:val="22"/>
          <w:szCs w:val="22"/>
        </w:rPr>
        <w:t>to the operation site; (b) The view of the the square shaped bone incision; (c) The view of the lesion; (d) The view of the bone cavity after enucleation of the lesion.</w:t>
      </w:r>
    </w:p>
    <w:p w:rsidR="00515F46" w:rsidRPr="003578BA" w:rsidRDefault="00515F46" w:rsidP="00515F46">
      <w:pPr>
        <w:jc w:val="lowKashida"/>
        <w:rPr>
          <w:sz w:val="22"/>
          <w:szCs w:val="22"/>
        </w:rPr>
      </w:pPr>
    </w:p>
    <w:p w:rsidR="00515F46" w:rsidRPr="003578BA" w:rsidRDefault="00515F46" w:rsidP="00515F46">
      <w:pPr>
        <w:jc w:val="lowKashida"/>
        <w:rPr>
          <w:b/>
          <w:sz w:val="22"/>
          <w:szCs w:val="22"/>
        </w:rPr>
      </w:pPr>
    </w:p>
    <w:p w:rsidR="00515F46" w:rsidRPr="003578BA" w:rsidRDefault="00515F46" w:rsidP="00515F46">
      <w:pPr>
        <w:jc w:val="lowKashida"/>
        <w:rPr>
          <w:sz w:val="22"/>
          <w:szCs w:val="22"/>
        </w:rPr>
      </w:pPr>
      <w:r>
        <w:rPr>
          <w:noProof/>
          <w:sz w:val="22"/>
          <w:szCs w:val="22"/>
        </w:rPr>
        <w:drawing>
          <wp:inline distT="0" distB="0" distL="0" distR="0">
            <wp:extent cx="1216660" cy="1025525"/>
            <wp:effectExtent l="19050" t="0" r="2540" b="0"/>
            <wp:docPr id="24" name="Picture 2" descr="Description: Odontoma Yay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dontoma Yayin"/>
                    <pic:cNvPicPr>
                      <a:picLocks noChangeAspect="1" noChangeArrowheads="1"/>
                    </pic:cNvPicPr>
                  </pic:nvPicPr>
                  <pic:blipFill>
                    <a:blip r:embed="rId34" cstate="print"/>
                    <a:srcRect/>
                    <a:stretch>
                      <a:fillRect/>
                    </a:stretch>
                  </pic:blipFill>
                  <pic:spPr bwMode="auto">
                    <a:xfrm>
                      <a:off x="0" y="0"/>
                      <a:ext cx="1216660" cy="1025525"/>
                    </a:xfrm>
                    <a:prstGeom prst="rect">
                      <a:avLst/>
                    </a:prstGeom>
                    <a:noFill/>
                    <a:ln w="9525">
                      <a:noFill/>
                      <a:miter lim="800000"/>
                      <a:headEnd/>
                      <a:tailEnd/>
                    </a:ln>
                  </pic:spPr>
                </pic:pic>
              </a:graphicData>
            </a:graphic>
          </wp:inline>
        </w:drawing>
      </w:r>
    </w:p>
    <w:p w:rsidR="00515F46" w:rsidRPr="003578BA" w:rsidRDefault="00515F46" w:rsidP="00515F46">
      <w:pPr>
        <w:jc w:val="lowKashida"/>
        <w:rPr>
          <w:sz w:val="22"/>
          <w:szCs w:val="22"/>
        </w:rPr>
      </w:pPr>
      <w:r w:rsidRPr="003578BA">
        <w:rPr>
          <w:b/>
          <w:sz w:val="22"/>
          <w:szCs w:val="22"/>
        </w:rPr>
        <w:t>Figure 11.</w:t>
      </w:r>
      <w:r w:rsidRPr="003578BA">
        <w:rPr>
          <w:sz w:val="22"/>
          <w:szCs w:val="22"/>
        </w:rPr>
        <w:t xml:space="preserve"> </w:t>
      </w:r>
      <w:r>
        <w:rPr>
          <w:sz w:val="22"/>
          <w:szCs w:val="22"/>
        </w:rPr>
        <w:t xml:space="preserve">Intraoperative </w:t>
      </w:r>
      <w:r w:rsidRPr="003578BA">
        <w:rPr>
          <w:sz w:val="22"/>
          <w:szCs w:val="22"/>
        </w:rPr>
        <w:t xml:space="preserve">view of the reconstruction plate fixed to the autogenous graft and the mandible by mini </w:t>
      </w:r>
      <w:r>
        <w:rPr>
          <w:sz w:val="22"/>
          <w:szCs w:val="22"/>
        </w:rPr>
        <w:t xml:space="preserve">titan </w:t>
      </w:r>
      <w:r w:rsidRPr="003578BA">
        <w:rPr>
          <w:sz w:val="22"/>
          <w:szCs w:val="22"/>
        </w:rPr>
        <w:t>screws.</w:t>
      </w:r>
    </w:p>
    <w:p w:rsidR="00515F46" w:rsidRPr="003578BA" w:rsidRDefault="00515F46" w:rsidP="00515F46">
      <w:pPr>
        <w:jc w:val="lowKashida"/>
        <w:rPr>
          <w:sz w:val="22"/>
          <w:szCs w:val="22"/>
        </w:rPr>
      </w:pPr>
    </w:p>
    <w:p w:rsidR="00515F46" w:rsidRPr="003578BA" w:rsidRDefault="00515F46" w:rsidP="00515F46">
      <w:pPr>
        <w:jc w:val="lowKashida"/>
        <w:rPr>
          <w:sz w:val="22"/>
          <w:szCs w:val="22"/>
        </w:rPr>
      </w:pPr>
    </w:p>
    <w:p w:rsidR="00515F46" w:rsidRPr="003578BA" w:rsidRDefault="00515F46" w:rsidP="00515F46">
      <w:pPr>
        <w:jc w:val="lowKashida"/>
        <w:rPr>
          <w:b/>
          <w:sz w:val="22"/>
          <w:szCs w:val="22"/>
        </w:rPr>
      </w:pPr>
      <w:r>
        <w:rPr>
          <w:b/>
          <w:noProof/>
          <w:sz w:val="22"/>
          <w:szCs w:val="22"/>
        </w:rPr>
        <w:drawing>
          <wp:inline distT="0" distB="0" distL="0" distR="0">
            <wp:extent cx="2178685" cy="993775"/>
            <wp:effectExtent l="19050" t="0" r="0" b="0"/>
            <wp:docPr id="26" name="Picture 1" descr="Description: Odontoma Yay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dontoma Yayin 2"/>
                    <pic:cNvPicPr>
                      <a:picLocks noChangeAspect="1" noChangeArrowheads="1"/>
                    </pic:cNvPicPr>
                  </pic:nvPicPr>
                  <pic:blipFill>
                    <a:blip r:embed="rId35" cstate="print"/>
                    <a:srcRect/>
                    <a:stretch>
                      <a:fillRect/>
                    </a:stretch>
                  </pic:blipFill>
                  <pic:spPr bwMode="auto">
                    <a:xfrm>
                      <a:off x="0" y="0"/>
                      <a:ext cx="2178685" cy="993775"/>
                    </a:xfrm>
                    <a:prstGeom prst="rect">
                      <a:avLst/>
                    </a:prstGeom>
                    <a:noFill/>
                    <a:ln w="9525">
                      <a:noFill/>
                      <a:miter lim="800000"/>
                      <a:headEnd/>
                      <a:tailEnd/>
                    </a:ln>
                  </pic:spPr>
                </pic:pic>
              </a:graphicData>
            </a:graphic>
          </wp:inline>
        </w:drawing>
      </w:r>
    </w:p>
    <w:p w:rsidR="00515F46" w:rsidRPr="003578BA" w:rsidRDefault="00515F46" w:rsidP="00515F46">
      <w:pPr>
        <w:jc w:val="lowKashida"/>
        <w:rPr>
          <w:sz w:val="22"/>
          <w:szCs w:val="22"/>
        </w:rPr>
      </w:pPr>
      <w:r w:rsidRPr="003578BA">
        <w:rPr>
          <w:b/>
          <w:sz w:val="22"/>
          <w:szCs w:val="22"/>
        </w:rPr>
        <w:t xml:space="preserve">Figure12. </w:t>
      </w:r>
      <w:r>
        <w:rPr>
          <w:sz w:val="22"/>
          <w:szCs w:val="22"/>
        </w:rPr>
        <w:t>Postoperative orthopantomograph</w:t>
      </w:r>
      <w:r w:rsidRPr="003578BA">
        <w:rPr>
          <w:sz w:val="22"/>
          <w:szCs w:val="22"/>
        </w:rPr>
        <w:t xml:space="preserve"> of the patient.</w:t>
      </w:r>
    </w:p>
    <w:p w:rsidR="00515F46" w:rsidRPr="003578BA" w:rsidRDefault="00515F46" w:rsidP="00515F46">
      <w:pPr>
        <w:spacing w:line="360" w:lineRule="auto"/>
        <w:jc w:val="lowKashida"/>
      </w:pPr>
    </w:p>
    <w:p w:rsidR="00515F46" w:rsidRPr="003578BA" w:rsidRDefault="00515F46" w:rsidP="00515F46">
      <w:pPr>
        <w:spacing w:line="480" w:lineRule="auto"/>
        <w:jc w:val="lowKashida"/>
        <w:rPr>
          <w:b/>
        </w:rPr>
      </w:pPr>
    </w:p>
    <w:p w:rsidR="000C427E" w:rsidRDefault="00515F46"/>
    <w:sectPr w:rsidR="000C427E" w:rsidSect="00327F0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515F46"/>
    <w:rsid w:val="00327F06"/>
    <w:rsid w:val="00515F46"/>
    <w:rsid w:val="00B869DB"/>
    <w:rsid w:val="00F8307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F4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link w:val="Balk1Char"/>
    <w:uiPriority w:val="9"/>
    <w:qFormat/>
    <w:rsid w:val="00515F46"/>
    <w:pPr>
      <w:spacing w:before="100" w:beforeAutospacing="1" w:after="100" w:afterAutospacing="1"/>
      <w:outlineLvl w:val="0"/>
    </w:pPr>
    <w:rPr>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15F46"/>
    <w:rPr>
      <w:color w:val="0000FF" w:themeColor="hyperlink"/>
      <w:u w:val="single"/>
    </w:rPr>
  </w:style>
  <w:style w:type="paragraph" w:styleId="BalonMetni">
    <w:name w:val="Balloon Text"/>
    <w:basedOn w:val="Normal"/>
    <w:link w:val="BalonMetniChar"/>
    <w:uiPriority w:val="99"/>
    <w:semiHidden/>
    <w:unhideWhenUsed/>
    <w:rsid w:val="00515F46"/>
    <w:rPr>
      <w:rFonts w:ascii="Tahoma" w:hAnsi="Tahoma" w:cs="Tahoma"/>
      <w:sz w:val="16"/>
      <w:szCs w:val="16"/>
    </w:rPr>
  </w:style>
  <w:style w:type="character" w:customStyle="1" w:styleId="BalonMetniChar">
    <w:name w:val="Balon Metni Char"/>
    <w:basedOn w:val="VarsaylanParagrafYazTipi"/>
    <w:link w:val="BalonMetni"/>
    <w:uiPriority w:val="99"/>
    <w:semiHidden/>
    <w:rsid w:val="00515F46"/>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515F46"/>
    <w:rPr>
      <w:rFonts w:ascii="Times New Roman" w:eastAsia="Times New Roman" w:hAnsi="Times New Roman" w:cs="Times New Roman"/>
      <w:b/>
      <w:bCs/>
      <w:kern w:val="36"/>
      <w:sz w:val="48"/>
      <w:szCs w:val="48"/>
      <w:lang w:eastAsia="tr-TR"/>
    </w:rPr>
  </w:style>
  <w:style w:type="character" w:customStyle="1" w:styleId="apple-converted-space">
    <w:name w:val="apple-converted-space"/>
    <w:basedOn w:val="VarsaylanParagrafYazTipi"/>
    <w:rsid w:val="00515F46"/>
  </w:style>
  <w:style w:type="character" w:customStyle="1" w:styleId="highlight">
    <w:name w:val="highlight"/>
    <w:basedOn w:val="VarsaylanParagrafYazTipi"/>
    <w:rsid w:val="00515F4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Beninati%20F%5BAuthor%5D&amp;cauthor=true&amp;cauthor_uid=14608250"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hyperlink" Target="http://www.ncbi.nlm.nih.gov/pubmed/?term=Tedesco%20A%5BAuthor%5D&amp;cauthor=true&amp;cauthor_uid=14608250"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hyperlink" Target="http://www.ncbi.nlm.nih.gov/pubmed/?term=Nardi%20P%5BAuthor%5D&amp;cauthor=true&amp;cauthor_uid=14608250"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hyperlink" Target="http://www.ncbi.nlm.nih.gov/pubmed/?term=Acocella%20A%5BAuthor%5D&amp;cauthor=true&amp;cauthor_uid=14608250"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www.ncbi.nlm.nih.gov/pubmed/14608250"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hyperlink" Target="mailto:garici@gata.edu.tr" TargetMode="External"/><Relationship Id="rId9" Type="http://schemas.openxmlformats.org/officeDocument/2006/relationships/hyperlink" Target="http://www.ncbi.nlm.nih.gov/pubmed/?term=Giannini%20D%5BAuthor%5D&amp;cauthor=true&amp;cauthor_uid=1460825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2363</Words>
  <Characters>13475</Characters>
  <Application>Microsoft Office Word</Application>
  <DocSecurity>0</DocSecurity>
  <Lines>112</Lines>
  <Paragraphs>31</Paragraphs>
  <ScaleCrop>false</ScaleCrop>
  <Company/>
  <LinksUpToDate>false</LinksUpToDate>
  <CharactersWithSpaces>15807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Casper</cp:lastModifiedBy>
  <cp:revision>2</cp:revision>
  <dcterms:created xsi:type="dcterms:W3CDTF">2016-03-29T19:46:00Z</dcterms:created>
  <dcterms:modified xsi:type="dcterms:W3CDTF">2016-03-29T19:52:00Z</dcterms:modified>
</cp:coreProperties>
</file>