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65" w:rsidRPr="000B45AA" w:rsidRDefault="00D02465" w:rsidP="00D02465">
      <w:pPr>
        <w:pStyle w:val="NormalWeb"/>
        <w:spacing w:before="0" w:beforeAutospacing="0" w:after="0" w:afterAutospacing="0" w:line="320" w:lineRule="atLeast"/>
        <w:ind w:firstLine="0"/>
        <w:rPr>
          <w:rFonts w:ascii="Times New Roman" w:hAnsi="Times New Roman"/>
          <w:noProof/>
          <w:lang w:val="en-US"/>
        </w:rPr>
      </w:pPr>
      <w:r w:rsidRPr="000B45AA">
        <w:rPr>
          <w:rFonts w:ascii="Times New Roman" w:hAnsi="Times New Roman"/>
          <w:noProof/>
          <w:lang w:val="en-US"/>
        </w:rPr>
        <w:t xml:space="preserve">Title of the article: </w:t>
      </w:r>
    </w:p>
    <w:p w:rsidR="00D02465" w:rsidRPr="000B45AA" w:rsidRDefault="00D02465" w:rsidP="00D02465">
      <w:pPr>
        <w:pStyle w:val="NormalWeb"/>
        <w:spacing w:before="0" w:beforeAutospacing="0" w:after="0" w:afterAutospacing="0" w:line="320" w:lineRule="atLeast"/>
        <w:ind w:firstLine="0"/>
        <w:rPr>
          <w:rFonts w:ascii="Times New Roman" w:hAnsi="Times New Roman"/>
          <w:noProof/>
          <w:lang w:val="en-US"/>
        </w:rPr>
      </w:pPr>
    </w:p>
    <w:p w:rsidR="00D02465" w:rsidRPr="000B45AA" w:rsidRDefault="00630C22" w:rsidP="002955D9">
      <w:pPr>
        <w:pStyle w:val="NormalWeb"/>
        <w:spacing w:before="0" w:beforeAutospacing="0" w:after="0" w:afterAutospacing="0" w:line="320" w:lineRule="atLeast"/>
        <w:ind w:firstLine="0"/>
        <w:rPr>
          <w:rFonts w:ascii="Times New Roman" w:hAnsi="Times New Roman"/>
          <w:kern w:val="2"/>
        </w:rPr>
      </w:pPr>
      <w:r w:rsidRPr="000B45AA">
        <w:rPr>
          <w:rFonts w:ascii="Arial" w:hAnsi="Arial"/>
          <w:b/>
        </w:rPr>
        <w:t>Abstract</w:t>
      </w:r>
    </w:p>
    <w:p w:rsidR="00D02465" w:rsidRPr="000B45AA" w:rsidRDefault="00D02465" w:rsidP="00D02465">
      <w:pPr>
        <w:spacing w:line="480" w:lineRule="auto"/>
        <w:jc w:val="both"/>
        <w:rPr>
          <w:lang w:val="en-US"/>
        </w:rPr>
      </w:pPr>
    </w:p>
    <w:p w:rsidR="00D02465" w:rsidRPr="000B45AA" w:rsidRDefault="00D02465" w:rsidP="00D02465">
      <w:pPr>
        <w:spacing w:line="480" w:lineRule="auto"/>
        <w:jc w:val="both"/>
      </w:pPr>
      <w:r w:rsidRPr="000B45AA">
        <w:rPr>
          <w:lang w:val="en-US"/>
        </w:rPr>
        <w:t>A Supernumerary teeth (ST) is the additional tooth to the normal series and can be found in almost any region of the dental arch. The reason still not clearly known, one of the</w:t>
      </w:r>
      <w:r w:rsidR="007B1273" w:rsidRPr="000B45AA">
        <w:rPr>
          <w:lang w:val="en-US"/>
        </w:rPr>
        <w:t>m is dichotomy of tooth bud, but the mor</w:t>
      </w:r>
      <w:r w:rsidRPr="000B45AA">
        <w:rPr>
          <w:lang w:val="en-US"/>
        </w:rPr>
        <w:t xml:space="preserve">e accepted </w:t>
      </w:r>
      <w:r w:rsidR="007B1273" w:rsidRPr="000B45AA">
        <w:rPr>
          <w:lang w:val="en-US"/>
        </w:rPr>
        <w:t>reason</w:t>
      </w:r>
      <w:r w:rsidRPr="000B45AA">
        <w:rPr>
          <w:lang w:val="en-US"/>
        </w:rPr>
        <w:t xml:space="preserve"> is</w:t>
      </w:r>
      <w:r w:rsidR="007B1273" w:rsidRPr="000B45AA">
        <w:rPr>
          <w:lang w:val="en-US"/>
        </w:rPr>
        <w:t xml:space="preserve"> the</w:t>
      </w:r>
      <w:r w:rsidRPr="000B45AA">
        <w:rPr>
          <w:lang w:val="en-US"/>
        </w:rPr>
        <w:t xml:space="preserve"> hyperactivity theory. Supernumerary teeth are present more in permanent dentition than in primary dentition. The occurrence of supernumerary teeth could be single or multiple, unilaterally or bilaterally, impacted or erupted, in m</w:t>
      </w:r>
      <w:r w:rsidR="002955D9" w:rsidRPr="000B45AA">
        <w:rPr>
          <w:lang w:val="en-US"/>
        </w:rPr>
        <w:t>axilla or mandible or both. T</w:t>
      </w:r>
      <w:r w:rsidRPr="000B45AA">
        <w:rPr>
          <w:lang w:val="en-US"/>
        </w:rPr>
        <w:t xml:space="preserve">his article discusses the supernumerary teeth in detail </w:t>
      </w:r>
      <w:r w:rsidR="00BB2C16" w:rsidRPr="000B45AA">
        <w:rPr>
          <w:lang w:val="en-US"/>
        </w:rPr>
        <w:t>with a case discussion of a non-</w:t>
      </w:r>
      <w:proofErr w:type="spellStart"/>
      <w:r w:rsidR="00BB2C16" w:rsidRPr="000B45AA">
        <w:rPr>
          <w:lang w:val="en-US"/>
        </w:rPr>
        <w:t>syndromic</w:t>
      </w:r>
      <w:proofErr w:type="spellEnd"/>
      <w:r w:rsidR="00BB2C16" w:rsidRPr="000B45AA">
        <w:rPr>
          <w:lang w:val="en-US"/>
        </w:rPr>
        <w:t xml:space="preserve"> twenty four year old girl, with six ST and further a meta-analysis is performed regarding the occurrence pa</w:t>
      </w:r>
      <w:r w:rsidR="002C162F" w:rsidRPr="000B45AA">
        <w:rPr>
          <w:lang w:val="en-US"/>
        </w:rPr>
        <w:t>tterns, in non-</w:t>
      </w:r>
      <w:proofErr w:type="spellStart"/>
      <w:r w:rsidR="002C162F" w:rsidRPr="000B45AA">
        <w:rPr>
          <w:lang w:val="en-US"/>
        </w:rPr>
        <w:t>syndromic</w:t>
      </w:r>
      <w:proofErr w:type="spellEnd"/>
      <w:r w:rsidR="002C162F" w:rsidRPr="000B45AA">
        <w:rPr>
          <w:lang w:val="en-US"/>
        </w:rPr>
        <w:t xml:space="preserve"> cases. </w:t>
      </w:r>
      <w:r w:rsidR="00BB2C16" w:rsidRPr="000B45AA">
        <w:rPr>
          <w:lang w:val="en-US"/>
        </w:rPr>
        <w:t>The prese</w:t>
      </w:r>
      <w:r w:rsidR="002955D9" w:rsidRPr="000B45AA">
        <w:rPr>
          <w:lang w:val="en-US"/>
        </w:rPr>
        <w:t xml:space="preserve">nt case showed </w:t>
      </w:r>
      <w:proofErr w:type="spellStart"/>
      <w:r w:rsidR="002955D9" w:rsidRPr="000B45AA">
        <w:rPr>
          <w:lang w:val="en-US"/>
        </w:rPr>
        <w:t>supernumery</w:t>
      </w:r>
      <w:proofErr w:type="spellEnd"/>
      <w:r w:rsidR="002955D9" w:rsidRPr="000B45AA">
        <w:rPr>
          <w:lang w:val="en-US"/>
        </w:rPr>
        <w:t xml:space="preserve"> teeth</w:t>
      </w:r>
      <w:r w:rsidR="00BB2C16" w:rsidRPr="000B45AA">
        <w:rPr>
          <w:lang w:val="en-US"/>
        </w:rPr>
        <w:t xml:space="preserve"> in all </w:t>
      </w:r>
      <w:r w:rsidR="00E45810" w:rsidRPr="000B45AA">
        <w:rPr>
          <w:lang w:val="en-US"/>
        </w:rPr>
        <w:t xml:space="preserve">the </w:t>
      </w:r>
      <w:r w:rsidR="00BB2C16" w:rsidRPr="000B45AA">
        <w:rPr>
          <w:lang w:val="en-US"/>
        </w:rPr>
        <w:t xml:space="preserve">four quadrants and were bicuspids. In the </w:t>
      </w:r>
      <w:r w:rsidR="002955D9" w:rsidRPr="000B45AA">
        <w:rPr>
          <w:lang w:val="en-US"/>
        </w:rPr>
        <w:t>mandible</w:t>
      </w:r>
      <w:r w:rsidR="00BB2C16" w:rsidRPr="000B45AA">
        <w:rPr>
          <w:lang w:val="en-US"/>
        </w:rPr>
        <w:t>, ST’s showed a classical clustered flower like presentation. The interesting feature in the presented case was the sequential OPG’s taken at various ages of the patient showing continuous development of ST’s in all four quadrants, thus pointing to the theory of hyperactive dental lamina or Atavism.</w:t>
      </w:r>
      <w:r w:rsidRPr="000B45AA">
        <w:rPr>
          <w:lang w:val="en-US"/>
        </w:rPr>
        <w:t xml:space="preserve"> </w:t>
      </w:r>
    </w:p>
    <w:p w:rsidR="00D02465" w:rsidRPr="000B45AA" w:rsidRDefault="00D02465" w:rsidP="00D02465">
      <w:pPr>
        <w:spacing w:before="60" w:line="400" w:lineRule="atLeast"/>
        <w:rPr>
          <w:rFonts w:ascii="Arial" w:hAnsi="Arial"/>
          <w:b/>
        </w:rPr>
      </w:pPr>
    </w:p>
    <w:p w:rsidR="00D02465" w:rsidRPr="000B45AA" w:rsidRDefault="00D02465" w:rsidP="00D02465">
      <w:pPr>
        <w:spacing w:before="60" w:line="480" w:lineRule="auto"/>
        <w:outlineLvl w:val="0"/>
        <w:rPr>
          <w:b/>
        </w:rPr>
      </w:pPr>
      <w:r w:rsidRPr="000B45AA">
        <w:rPr>
          <w:b/>
        </w:rPr>
        <w:t xml:space="preserve">Key-words: Supernumerary Teeth, </w:t>
      </w:r>
      <w:proofErr w:type="spellStart"/>
      <w:r w:rsidRPr="000B45AA">
        <w:rPr>
          <w:b/>
        </w:rPr>
        <w:t>Hyperdontia</w:t>
      </w:r>
      <w:proofErr w:type="spellEnd"/>
      <w:r w:rsidRPr="000B45AA">
        <w:rPr>
          <w:b/>
        </w:rPr>
        <w:t>, Atavism, Meta-analysis</w:t>
      </w:r>
    </w:p>
    <w:p w:rsidR="0090706B" w:rsidRPr="000B45AA" w:rsidRDefault="0090706B" w:rsidP="00D37E5D">
      <w:r w:rsidRPr="000B45AA">
        <w:rPr>
          <w:b/>
        </w:rPr>
        <w:t>Introduction:</w:t>
      </w:r>
    </w:p>
    <w:p w:rsidR="005901EB" w:rsidRPr="000B45AA" w:rsidRDefault="005901EB" w:rsidP="007E6823">
      <w:pPr>
        <w:spacing w:line="480" w:lineRule="auto"/>
        <w:jc w:val="both"/>
        <w:rPr>
          <w:bCs/>
          <w:lang w:val="en-US"/>
        </w:rPr>
      </w:pPr>
    </w:p>
    <w:p w:rsidR="00F010DB" w:rsidRPr="000B45AA" w:rsidRDefault="0021625C" w:rsidP="007E6823">
      <w:pPr>
        <w:spacing w:line="480" w:lineRule="auto"/>
        <w:jc w:val="both"/>
        <w:rPr>
          <w:bCs/>
          <w:lang w:val="en-US"/>
        </w:rPr>
      </w:pPr>
      <w:proofErr w:type="spellStart"/>
      <w:r w:rsidRPr="000B45AA">
        <w:rPr>
          <w:bCs/>
          <w:lang w:val="en-US"/>
        </w:rPr>
        <w:t>Hyperdontia</w:t>
      </w:r>
      <w:proofErr w:type="spellEnd"/>
      <w:r w:rsidRPr="000B45AA">
        <w:rPr>
          <w:bCs/>
          <w:lang w:val="en-US"/>
        </w:rPr>
        <w:t xml:space="preserve"> is a term </w:t>
      </w:r>
      <w:r w:rsidR="00FD03DA" w:rsidRPr="000B45AA">
        <w:rPr>
          <w:bCs/>
          <w:lang w:val="en-US"/>
        </w:rPr>
        <w:t xml:space="preserve">that is </w:t>
      </w:r>
      <w:r w:rsidRPr="000B45AA">
        <w:rPr>
          <w:bCs/>
          <w:lang w:val="en-US"/>
        </w:rPr>
        <w:t xml:space="preserve">used for </w:t>
      </w:r>
      <w:r w:rsidR="00474C17" w:rsidRPr="000B45AA">
        <w:rPr>
          <w:bCs/>
          <w:lang w:val="en-US"/>
        </w:rPr>
        <w:t>s</w:t>
      </w:r>
      <w:r w:rsidR="00F010DB" w:rsidRPr="000B45AA">
        <w:rPr>
          <w:bCs/>
          <w:lang w:val="en-US"/>
        </w:rPr>
        <w:t xml:space="preserve">upernumerary </w:t>
      </w:r>
      <w:r w:rsidR="00FD03DA" w:rsidRPr="000B45AA">
        <w:rPr>
          <w:bCs/>
          <w:lang w:val="en-US"/>
        </w:rPr>
        <w:t xml:space="preserve">teeth </w:t>
      </w:r>
      <w:r w:rsidR="00F010DB" w:rsidRPr="000B45AA">
        <w:rPr>
          <w:bCs/>
          <w:lang w:val="en-US"/>
        </w:rPr>
        <w:t xml:space="preserve">to describe extra teeth that develop in addition to the 20 </w:t>
      </w:r>
      <w:r w:rsidR="00464BDE" w:rsidRPr="000B45AA">
        <w:rPr>
          <w:bCs/>
          <w:lang w:val="en-US"/>
        </w:rPr>
        <w:t>deciduous</w:t>
      </w:r>
      <w:r w:rsidR="00F010DB" w:rsidRPr="000B45AA">
        <w:rPr>
          <w:bCs/>
          <w:lang w:val="en-US"/>
        </w:rPr>
        <w:t xml:space="preserve"> and 32 Permanent teeth.</w:t>
      </w:r>
      <w:r w:rsidR="000B45AA" w:rsidRPr="000B45AA">
        <w:rPr>
          <w:bCs/>
          <w:lang w:val="en-US"/>
        </w:rPr>
        <w:t>[</w:t>
      </w:r>
      <w:r w:rsidR="00FD03DA" w:rsidRPr="000B45AA">
        <w:rPr>
          <w:bCs/>
          <w:lang w:val="en-US"/>
        </w:rPr>
        <w:t>1</w:t>
      </w:r>
      <w:r w:rsidR="000B45AA" w:rsidRPr="000B45AA">
        <w:rPr>
          <w:bCs/>
          <w:lang w:val="en-US"/>
        </w:rPr>
        <w:t>]</w:t>
      </w:r>
      <w:r w:rsidRPr="000B45AA">
        <w:rPr>
          <w:bCs/>
          <w:lang w:val="en-US"/>
        </w:rPr>
        <w:t xml:space="preserve"> Atavism is one of the theories for the formation of supernumerary teeth. The other theories </w:t>
      </w:r>
      <w:r w:rsidR="007A2A72" w:rsidRPr="000B45AA">
        <w:rPr>
          <w:bCs/>
          <w:lang w:val="en-US"/>
        </w:rPr>
        <w:t>include</w:t>
      </w:r>
      <w:r w:rsidRPr="000B45AA">
        <w:rPr>
          <w:bCs/>
          <w:lang w:val="en-US"/>
        </w:rPr>
        <w:t xml:space="preserve"> tooth bud splitting and an amalgamation of circumstantial and genetics</w:t>
      </w:r>
      <w:r w:rsidR="00E45810" w:rsidRPr="000B45AA">
        <w:rPr>
          <w:bCs/>
          <w:lang w:val="en-US"/>
        </w:rPr>
        <w:t xml:space="preserve"> factors</w:t>
      </w:r>
      <w:r w:rsidR="00C67182" w:rsidRPr="000B45AA">
        <w:rPr>
          <w:bCs/>
          <w:lang w:val="en-US"/>
        </w:rPr>
        <w:t>.</w:t>
      </w:r>
      <w:r w:rsidR="00CC14FF" w:rsidRPr="000B45AA">
        <w:rPr>
          <w:bCs/>
          <w:lang w:val="en-US"/>
        </w:rPr>
        <w:t>[</w:t>
      </w:r>
      <w:r w:rsidR="00F010DB" w:rsidRPr="000B45AA">
        <w:rPr>
          <w:bCs/>
          <w:lang w:val="en-US"/>
        </w:rPr>
        <w:t>2,3,4,5,6,7,8,9</w:t>
      </w:r>
      <w:r w:rsidR="00CC14FF" w:rsidRPr="000B45AA">
        <w:rPr>
          <w:bCs/>
          <w:lang w:val="en-US"/>
        </w:rPr>
        <w:t>]</w:t>
      </w:r>
      <w:r w:rsidR="00F010DB" w:rsidRPr="000B45AA">
        <w:rPr>
          <w:bCs/>
          <w:lang w:val="en-US"/>
        </w:rPr>
        <w:t xml:space="preserve"> </w:t>
      </w:r>
      <w:r w:rsidR="00DC0C0C" w:rsidRPr="000B45AA">
        <w:rPr>
          <w:bCs/>
          <w:lang w:val="en-US"/>
        </w:rPr>
        <w:t>However a</w:t>
      </w:r>
      <w:r w:rsidR="00F010DB" w:rsidRPr="000B45AA">
        <w:rPr>
          <w:bCs/>
          <w:lang w:val="en-US"/>
        </w:rPr>
        <w:t>ccording to Gardiner,</w:t>
      </w:r>
      <w:r w:rsidR="00CC14FF" w:rsidRPr="000B45AA">
        <w:rPr>
          <w:bCs/>
          <w:lang w:val="en-US"/>
        </w:rPr>
        <w:t>[</w:t>
      </w:r>
      <w:r w:rsidR="00F010DB" w:rsidRPr="000B45AA">
        <w:rPr>
          <w:bCs/>
          <w:lang w:val="en-US"/>
        </w:rPr>
        <w:t>10</w:t>
      </w:r>
      <w:r w:rsidR="00CC14FF" w:rsidRPr="000B45AA">
        <w:rPr>
          <w:bCs/>
          <w:lang w:val="en-US"/>
        </w:rPr>
        <w:t>]</w:t>
      </w:r>
      <w:r w:rsidR="00F010DB" w:rsidRPr="000B45AA">
        <w:rPr>
          <w:bCs/>
          <w:lang w:val="en-US"/>
        </w:rPr>
        <w:t xml:space="preserve"> </w:t>
      </w:r>
      <w:r w:rsidR="00DC0C0C" w:rsidRPr="000B45AA">
        <w:rPr>
          <w:bCs/>
          <w:lang w:val="en-US"/>
        </w:rPr>
        <w:t xml:space="preserve">the </w:t>
      </w:r>
      <w:r w:rsidR="00F010DB" w:rsidRPr="000B45AA">
        <w:rPr>
          <w:bCs/>
          <w:lang w:val="en-US"/>
        </w:rPr>
        <w:t>l</w:t>
      </w:r>
      <w:r w:rsidRPr="000B45AA">
        <w:rPr>
          <w:bCs/>
          <w:lang w:val="en-US"/>
        </w:rPr>
        <w:t xml:space="preserve">ate developing post permanent </w:t>
      </w:r>
      <w:r w:rsidR="00F010DB" w:rsidRPr="000B45AA">
        <w:rPr>
          <w:bCs/>
          <w:lang w:val="en-US"/>
        </w:rPr>
        <w:t xml:space="preserve">teeth, develop from the </w:t>
      </w:r>
      <w:r w:rsidRPr="000B45AA">
        <w:rPr>
          <w:bCs/>
          <w:lang w:val="en-US"/>
        </w:rPr>
        <w:t>conception</w:t>
      </w:r>
      <w:r w:rsidR="00F010DB" w:rsidRPr="000B45AA">
        <w:rPr>
          <w:bCs/>
          <w:lang w:val="en-US"/>
        </w:rPr>
        <w:t xml:space="preserve"> of the dental lamina after the permanent dentition is </w:t>
      </w:r>
      <w:r w:rsidR="00415986" w:rsidRPr="000B45AA">
        <w:rPr>
          <w:bCs/>
          <w:lang w:val="en-US"/>
        </w:rPr>
        <w:t>concluded in its formation</w:t>
      </w:r>
      <w:r w:rsidR="00F010DB" w:rsidRPr="000B45AA">
        <w:rPr>
          <w:bCs/>
          <w:lang w:val="en-US"/>
        </w:rPr>
        <w:t xml:space="preserve">. </w:t>
      </w:r>
    </w:p>
    <w:p w:rsidR="00BB2C16" w:rsidRPr="000B45AA" w:rsidRDefault="00BB2C16" w:rsidP="002B6168">
      <w:pPr>
        <w:spacing w:line="480" w:lineRule="auto"/>
        <w:jc w:val="both"/>
        <w:rPr>
          <w:bCs/>
          <w:lang w:val="en-US"/>
        </w:rPr>
      </w:pPr>
      <w:r w:rsidRPr="000B45AA">
        <w:rPr>
          <w:bCs/>
          <w:lang w:val="en-US"/>
        </w:rPr>
        <w:t xml:space="preserve">The present </w:t>
      </w:r>
      <w:proofErr w:type="gramStart"/>
      <w:r w:rsidRPr="000B45AA">
        <w:rPr>
          <w:bCs/>
          <w:lang w:val="en-US"/>
        </w:rPr>
        <w:t xml:space="preserve">case </w:t>
      </w:r>
      <w:r w:rsidR="00DC0C0C" w:rsidRPr="000B45AA">
        <w:rPr>
          <w:bCs/>
          <w:lang w:val="en-US"/>
        </w:rPr>
        <w:t>present</w:t>
      </w:r>
      <w:proofErr w:type="gramEnd"/>
      <w:r w:rsidRPr="000B45AA">
        <w:rPr>
          <w:bCs/>
          <w:lang w:val="en-US"/>
        </w:rPr>
        <w:t xml:space="preserve"> a 24 years old female patient who reported to the clinic, with two </w:t>
      </w:r>
      <w:r w:rsidR="00DC0C0C" w:rsidRPr="000B45AA">
        <w:rPr>
          <w:bCs/>
          <w:lang w:val="en-US"/>
        </w:rPr>
        <w:t xml:space="preserve">supernumerary </w:t>
      </w:r>
      <w:r w:rsidRPr="000B45AA">
        <w:rPr>
          <w:bCs/>
          <w:lang w:val="en-US"/>
        </w:rPr>
        <w:t>teeth in the lower jaw on either side</w:t>
      </w:r>
      <w:r w:rsidR="00E958DD" w:rsidRPr="000B45AA">
        <w:rPr>
          <w:bCs/>
          <w:lang w:val="en-US"/>
        </w:rPr>
        <w:t xml:space="preserve"> of dental arch</w:t>
      </w:r>
      <w:r w:rsidRPr="000B45AA">
        <w:rPr>
          <w:bCs/>
          <w:lang w:val="en-US"/>
        </w:rPr>
        <w:t xml:space="preserve">. The teeth classically had a presentation of a clustered flower. </w:t>
      </w:r>
      <w:r w:rsidR="002B6168" w:rsidRPr="000B45AA">
        <w:rPr>
          <w:bCs/>
          <w:lang w:val="en-US"/>
        </w:rPr>
        <w:t>T</w:t>
      </w:r>
      <w:r w:rsidRPr="000B45AA">
        <w:rPr>
          <w:bCs/>
          <w:lang w:val="en-US"/>
        </w:rPr>
        <w:t xml:space="preserve">he OPGs provided by the patient, </w:t>
      </w:r>
      <w:proofErr w:type="gramStart"/>
      <w:r w:rsidRPr="000B45AA">
        <w:rPr>
          <w:bCs/>
          <w:lang w:val="en-US"/>
        </w:rPr>
        <w:t>which</w:t>
      </w:r>
      <w:proofErr w:type="gramEnd"/>
      <w:r w:rsidRPr="000B45AA">
        <w:rPr>
          <w:bCs/>
          <w:lang w:val="en-US"/>
        </w:rPr>
        <w:t xml:space="preserve"> had been taken at various </w:t>
      </w:r>
      <w:r w:rsidRPr="000B45AA">
        <w:rPr>
          <w:bCs/>
          <w:lang w:val="en-US"/>
        </w:rPr>
        <w:lastRenderedPageBreak/>
        <w:t xml:space="preserve">ages, </w:t>
      </w:r>
      <w:r w:rsidR="002B6168" w:rsidRPr="000B45AA">
        <w:rPr>
          <w:bCs/>
          <w:lang w:val="en-US"/>
        </w:rPr>
        <w:t>revealed that these s</w:t>
      </w:r>
      <w:r w:rsidRPr="000B45AA">
        <w:rPr>
          <w:bCs/>
          <w:lang w:val="en-US"/>
        </w:rPr>
        <w:t>upernumerary teeth were not present earlier. But had developed recently which showed that the patient might be suffering from hyperactive dental lamina. This may be the cause of continually developing teeth in her jaw and the condition might continue to develop more teeth.</w:t>
      </w:r>
    </w:p>
    <w:p w:rsidR="00BB2C16" w:rsidRPr="000B45AA" w:rsidRDefault="00435149" w:rsidP="00BB2C16">
      <w:pPr>
        <w:pStyle w:val="NoSpacing"/>
        <w:spacing w:line="480" w:lineRule="auto"/>
        <w:jc w:val="both"/>
      </w:pPr>
      <w:r w:rsidRPr="000B45AA">
        <w:t>In the present</w:t>
      </w:r>
      <w:r w:rsidR="00BB2C16" w:rsidRPr="000B45AA">
        <w:t xml:space="preserve"> case, though the patient had no clinical symptoms like pain or swelling etc., but the clustered flower like appearance of </w:t>
      </w:r>
      <w:proofErr w:type="spellStart"/>
      <w:r w:rsidR="002B6168" w:rsidRPr="000B45AA">
        <w:t>mandibular</w:t>
      </w:r>
      <w:proofErr w:type="spellEnd"/>
      <w:r w:rsidR="00BB2C16" w:rsidRPr="000B45AA">
        <w:t xml:space="preserve"> premolars on either sides of the </w:t>
      </w:r>
      <w:r w:rsidR="002B6168" w:rsidRPr="000B45AA">
        <w:t>dental arch</w:t>
      </w:r>
      <w:r w:rsidR="00BB2C16" w:rsidRPr="000B45AA">
        <w:t xml:space="preserve"> seemed to show that there were two or more supernumerary teeth on either side of the jaw. </w:t>
      </w:r>
      <w:r w:rsidR="005D03A1" w:rsidRPr="000B45AA">
        <w:t>T</w:t>
      </w:r>
      <w:r w:rsidR="00BB2C16" w:rsidRPr="000B45AA">
        <w:t xml:space="preserve">he patient </w:t>
      </w:r>
      <w:r w:rsidR="00B809E7" w:rsidRPr="000B45AA">
        <w:t xml:space="preserve">also </w:t>
      </w:r>
      <w:proofErr w:type="gramStart"/>
      <w:r w:rsidR="00B809E7" w:rsidRPr="000B45AA">
        <w:t>noticed</w:t>
      </w:r>
      <w:r w:rsidR="005D03A1" w:rsidRPr="000B45AA">
        <w:t xml:space="preserve"> </w:t>
      </w:r>
      <w:r w:rsidR="00B809E7" w:rsidRPr="000B45AA">
        <w:t xml:space="preserve"> that</w:t>
      </w:r>
      <w:proofErr w:type="gramEnd"/>
      <w:r w:rsidR="00B809E7" w:rsidRPr="000B45AA">
        <w:t xml:space="preserve"> these teeth</w:t>
      </w:r>
      <w:r w:rsidR="00BB2C16" w:rsidRPr="000B45AA">
        <w:t xml:space="preserve"> appeared just few years back and each one in a span of time after the first one. Also the sequential OPGs taken at various ages show no tooth buds at earlier ages and there was sequential appearance of buds in later life of the patient.</w:t>
      </w:r>
    </w:p>
    <w:p w:rsidR="00BB2C16" w:rsidRPr="000B45AA" w:rsidRDefault="00BB2C16" w:rsidP="00BB2C16">
      <w:pPr>
        <w:pStyle w:val="NoSpacing"/>
        <w:spacing w:line="480" w:lineRule="auto"/>
        <w:jc w:val="both"/>
      </w:pPr>
    </w:p>
    <w:p w:rsidR="00BB2C16" w:rsidRPr="000B45AA" w:rsidRDefault="00AD37C3" w:rsidP="00BB2C16">
      <w:pPr>
        <w:pStyle w:val="NoSpacing"/>
        <w:spacing w:line="480" w:lineRule="auto"/>
        <w:jc w:val="both"/>
      </w:pPr>
      <w:r w:rsidRPr="000B45AA">
        <w:t>Thus</w:t>
      </w:r>
      <w:r w:rsidR="00BB2C16" w:rsidRPr="000B45AA">
        <w:t>, the tooth buds kept appea</w:t>
      </w:r>
      <w:r w:rsidRPr="000B45AA">
        <w:t>ring and finally teeth appeared and erupted</w:t>
      </w:r>
      <w:r w:rsidR="00BB2C16" w:rsidRPr="000B45AA">
        <w:t xml:space="preserve"> at various stages of the patient’s life. This unique feature prompted us to report the case, as </w:t>
      </w:r>
      <w:r w:rsidR="000D5728" w:rsidRPr="000B45AA">
        <w:t>according to authors</w:t>
      </w:r>
      <w:r w:rsidR="00BB2C16" w:rsidRPr="000B45AA">
        <w:t xml:space="preserve"> the treatment of supernumerary teeth is not only extraction of the respective tooth. But </w:t>
      </w:r>
      <w:r w:rsidR="000D5728" w:rsidRPr="000B45AA">
        <w:t xml:space="preserve">it </w:t>
      </w:r>
      <w:r w:rsidR="00BB2C16" w:rsidRPr="000B45AA">
        <w:t xml:space="preserve">also </w:t>
      </w:r>
      <w:r w:rsidR="000D5728" w:rsidRPr="000B45AA">
        <w:t>requires a long term</w:t>
      </w:r>
      <w:r w:rsidR="00BB2C16" w:rsidRPr="000B45AA">
        <w:t xml:space="preserve"> follow up, </w:t>
      </w:r>
      <w:r w:rsidR="000D5728" w:rsidRPr="000B45AA">
        <w:t xml:space="preserve">along </w:t>
      </w:r>
      <w:proofErr w:type="gramStart"/>
      <w:r w:rsidR="000D5728" w:rsidRPr="000B45AA">
        <w:t xml:space="preserve">with </w:t>
      </w:r>
      <w:r w:rsidR="00BB2C16" w:rsidRPr="000B45AA">
        <w:t xml:space="preserve"> OPGs</w:t>
      </w:r>
      <w:proofErr w:type="gramEnd"/>
      <w:r w:rsidR="000D5728" w:rsidRPr="000B45AA">
        <w:t xml:space="preserve"> at various time intervals</w:t>
      </w:r>
      <w:r w:rsidR="00BB2C16" w:rsidRPr="000B45AA">
        <w:t xml:space="preserve"> to rule out the possibility of the hyperactive dental lamina which might cause more supernumerary teeth to appear in the jaw even at the later stages of the patient’s life.</w:t>
      </w:r>
    </w:p>
    <w:p w:rsidR="00BB2C16" w:rsidRPr="000B45AA" w:rsidRDefault="00BB2C16" w:rsidP="007E6823">
      <w:pPr>
        <w:spacing w:line="480" w:lineRule="auto"/>
        <w:jc w:val="both"/>
        <w:rPr>
          <w:bCs/>
          <w:lang w:val="en-US"/>
        </w:rPr>
      </w:pPr>
    </w:p>
    <w:p w:rsidR="00F010DB" w:rsidRPr="000B45AA" w:rsidRDefault="00F010DB" w:rsidP="00AC2231">
      <w:pPr>
        <w:pStyle w:val="NoSpacing"/>
        <w:spacing w:line="480" w:lineRule="auto"/>
        <w:jc w:val="both"/>
      </w:pPr>
      <w:r w:rsidRPr="000B45AA">
        <w:t>An extensive research was made into the review of literature on supernumerary teeth, selecting only clearly described cases which presented no clinical or radio-graphical signs of any syndrome. Case which reported 2 or more erupted or non-erupted supernumerary teeth were included.</w:t>
      </w:r>
      <w:r w:rsidR="00AC2231" w:rsidRPr="000B45AA">
        <w:t xml:space="preserve"> </w:t>
      </w:r>
      <w:proofErr w:type="spellStart"/>
      <w:r w:rsidRPr="000B45AA">
        <w:t>Pubmed</w:t>
      </w:r>
      <w:proofErr w:type="spellEnd"/>
      <w:r w:rsidRPr="000B45AA">
        <w:t xml:space="preserve"> was searched to locate relevantly presented case histories. Data was recorded under different columns, </w:t>
      </w:r>
      <w:r w:rsidR="00AC2231" w:rsidRPr="000B45AA">
        <w:t xml:space="preserve">author, year, age, gender, total number of teeth, teeth present in maxilla and mandible. </w:t>
      </w:r>
    </w:p>
    <w:p w:rsidR="00BB2C16" w:rsidRPr="000B45AA" w:rsidRDefault="00BB2C16" w:rsidP="007E6823">
      <w:pPr>
        <w:pStyle w:val="NoSpacing"/>
        <w:spacing w:line="480" w:lineRule="auto"/>
        <w:jc w:val="both"/>
      </w:pPr>
    </w:p>
    <w:p w:rsidR="00F010DB" w:rsidRPr="000B45AA" w:rsidRDefault="00F010DB" w:rsidP="007E6823">
      <w:pPr>
        <w:pStyle w:val="NoSpacing"/>
        <w:spacing w:line="480" w:lineRule="auto"/>
        <w:jc w:val="both"/>
      </w:pPr>
      <w:r w:rsidRPr="000B45AA">
        <w:t xml:space="preserve">The total numbers of teeth were further differentiated in each type: Anterior, Premolar, Molar, </w:t>
      </w:r>
      <w:proofErr w:type="spellStart"/>
      <w:r w:rsidRPr="000B45AA">
        <w:t>Distomolars</w:t>
      </w:r>
      <w:proofErr w:type="spellEnd"/>
      <w:r w:rsidRPr="000B45AA">
        <w:t xml:space="preserve">, </w:t>
      </w:r>
      <w:proofErr w:type="spellStart"/>
      <w:proofErr w:type="gramStart"/>
      <w:r w:rsidRPr="000B45AA">
        <w:t>Mesiondens</w:t>
      </w:r>
      <w:proofErr w:type="spellEnd"/>
      <w:proofErr w:type="gramEnd"/>
      <w:r w:rsidRPr="000B45AA">
        <w:t>. All variables were carefully recorded and statistical analysis was made to achieve the percentages of involvements.</w:t>
      </w:r>
    </w:p>
    <w:p w:rsidR="00BB2C16" w:rsidRPr="000B45AA" w:rsidRDefault="00BB2C16" w:rsidP="00BB2C16">
      <w:pPr>
        <w:pStyle w:val="NoSpacing"/>
        <w:spacing w:line="480" w:lineRule="auto"/>
      </w:pPr>
      <w:r w:rsidRPr="000B45AA">
        <w:rPr>
          <w:b/>
        </w:rPr>
        <w:lastRenderedPageBreak/>
        <w:t>Case History:</w:t>
      </w:r>
    </w:p>
    <w:p w:rsidR="00BB2C16" w:rsidRPr="000B45AA" w:rsidRDefault="00BB2C16" w:rsidP="00CC4DE5">
      <w:pPr>
        <w:spacing w:line="480" w:lineRule="auto"/>
        <w:jc w:val="both"/>
        <w:rPr>
          <w:bCs/>
          <w:shd w:val="clear" w:color="auto" w:fill="FFFFFF"/>
        </w:rPr>
      </w:pPr>
      <w:r w:rsidRPr="000B45AA">
        <w:rPr>
          <w:bCs/>
          <w:shd w:val="clear" w:color="auto" w:fill="FFFFFF"/>
        </w:rPr>
        <w:t xml:space="preserve">The patient reported to the clinic with pain in her lower right molar which was diagnosed with </w:t>
      </w:r>
      <w:proofErr w:type="spellStart"/>
      <w:r w:rsidRPr="000B45AA">
        <w:rPr>
          <w:bCs/>
          <w:shd w:val="clear" w:color="auto" w:fill="FFFFFF"/>
        </w:rPr>
        <w:t>periapical</w:t>
      </w:r>
      <w:proofErr w:type="spellEnd"/>
      <w:r w:rsidRPr="000B45AA">
        <w:rPr>
          <w:bCs/>
          <w:shd w:val="clear" w:color="auto" w:fill="FFFFFF"/>
        </w:rPr>
        <w:t xml:space="preserve"> abscess and root canal was performed followed with crown placement for the respective tooth. But during the initial examination, multiple supernumerary premolars were notated on either sides of the mandible, which had a classical clustered flower like presentation. (Figure 1) No medical history was found significant</w:t>
      </w:r>
      <w:r w:rsidR="0054796A" w:rsidRPr="000B45AA">
        <w:rPr>
          <w:bCs/>
          <w:shd w:val="clear" w:color="auto" w:fill="FFFFFF"/>
        </w:rPr>
        <w:t xml:space="preserve"> and thus </w:t>
      </w:r>
      <w:r w:rsidRPr="000B45AA">
        <w:rPr>
          <w:bCs/>
          <w:shd w:val="clear" w:color="auto" w:fill="FFFFFF"/>
        </w:rPr>
        <w:t xml:space="preserve">any syndrome or systemic condition was ruled out completely. The patient reported no social or any similar familial history. Patient </w:t>
      </w:r>
      <w:r w:rsidR="007B1D25" w:rsidRPr="000B45AA">
        <w:rPr>
          <w:bCs/>
          <w:shd w:val="clear" w:color="auto" w:fill="FFFFFF"/>
        </w:rPr>
        <w:t>told</w:t>
      </w:r>
      <w:r w:rsidRPr="000B45AA">
        <w:rPr>
          <w:bCs/>
          <w:shd w:val="clear" w:color="auto" w:fill="FFFFFF"/>
        </w:rPr>
        <w:t xml:space="preserve"> that due to various dental problems over the years regular OPG</w:t>
      </w:r>
      <w:r w:rsidR="00040B92" w:rsidRPr="000B45AA">
        <w:rPr>
          <w:bCs/>
          <w:shd w:val="clear" w:color="auto" w:fill="FFFFFF"/>
        </w:rPr>
        <w:t xml:space="preserve">s were taken at different ages [OPG at the age of 14 </w:t>
      </w:r>
      <w:r w:rsidRPr="000B45AA">
        <w:rPr>
          <w:bCs/>
          <w:shd w:val="clear" w:color="auto" w:fill="FFFFFF"/>
        </w:rPr>
        <w:t>(Figure 2)</w:t>
      </w:r>
      <w:r w:rsidR="00040B92" w:rsidRPr="000B45AA">
        <w:rPr>
          <w:bCs/>
          <w:shd w:val="clear" w:color="auto" w:fill="FFFFFF"/>
        </w:rPr>
        <w:t xml:space="preserve"> and 17 years </w:t>
      </w:r>
      <w:r w:rsidRPr="000B45AA">
        <w:rPr>
          <w:bCs/>
          <w:shd w:val="clear" w:color="auto" w:fill="FFFFFF"/>
        </w:rPr>
        <w:t>(Figure 3</w:t>
      </w:r>
      <w:proofErr w:type="gramStart"/>
      <w:r w:rsidRPr="000B45AA">
        <w:rPr>
          <w:bCs/>
          <w:shd w:val="clear" w:color="auto" w:fill="FFFFFF"/>
        </w:rPr>
        <w:t xml:space="preserve">) </w:t>
      </w:r>
      <w:r w:rsidR="00040B92" w:rsidRPr="000B45AA">
        <w:rPr>
          <w:bCs/>
          <w:shd w:val="clear" w:color="auto" w:fill="FFFFFF"/>
        </w:rPr>
        <w:t>]</w:t>
      </w:r>
      <w:proofErr w:type="gramEnd"/>
      <w:r w:rsidRPr="000B45AA">
        <w:rPr>
          <w:bCs/>
          <w:shd w:val="clear" w:color="auto" w:fill="FFFFFF"/>
        </w:rPr>
        <w:t>.</w:t>
      </w:r>
      <w:r w:rsidR="00040B92" w:rsidRPr="000B45AA">
        <w:rPr>
          <w:bCs/>
          <w:shd w:val="clear" w:color="auto" w:fill="FFFFFF"/>
        </w:rPr>
        <w:t xml:space="preserve"> </w:t>
      </w:r>
      <w:r w:rsidRPr="000B45AA">
        <w:rPr>
          <w:bCs/>
          <w:shd w:val="clear" w:color="auto" w:fill="FFFFFF"/>
        </w:rPr>
        <w:t xml:space="preserve">A new OPG was also taken when the patient first reported to the clinic. On careful examination of all the OPGs (only the latest one being digital at 24 years of age, Figure 4), it was concluded that there was dental lamina formation around the premolar region of maxilla and mandible, which </w:t>
      </w:r>
      <w:r w:rsidR="007B1D25" w:rsidRPr="000B45AA">
        <w:rPr>
          <w:bCs/>
          <w:shd w:val="clear" w:color="auto" w:fill="FFFFFF"/>
        </w:rPr>
        <w:t xml:space="preserve">later formed </w:t>
      </w:r>
      <w:r w:rsidRPr="000B45AA">
        <w:rPr>
          <w:bCs/>
          <w:shd w:val="clear" w:color="auto" w:fill="FFFFFF"/>
        </w:rPr>
        <w:t xml:space="preserve">premolars completely. These supplemental teeth cannot be identified as </w:t>
      </w:r>
      <w:proofErr w:type="spellStart"/>
      <w:r w:rsidRPr="000B45AA">
        <w:rPr>
          <w:bCs/>
          <w:shd w:val="clear" w:color="auto" w:fill="FFFFFF"/>
        </w:rPr>
        <w:t>odontomas</w:t>
      </w:r>
      <w:proofErr w:type="spellEnd"/>
      <w:r w:rsidRPr="000B45AA">
        <w:rPr>
          <w:bCs/>
          <w:shd w:val="clear" w:color="auto" w:fill="FFFFFF"/>
        </w:rPr>
        <w:t xml:space="preserve"> as they have shape, structure and tissue differentiation similar to premolars</w:t>
      </w:r>
      <w:r w:rsidR="007B1D25" w:rsidRPr="000B45AA">
        <w:rPr>
          <w:bCs/>
          <w:shd w:val="clear" w:color="auto" w:fill="FFFFFF"/>
        </w:rPr>
        <w:t xml:space="preserve"> and has </w:t>
      </w:r>
      <w:r w:rsidR="00CA0DDF" w:rsidRPr="000B45AA">
        <w:rPr>
          <w:bCs/>
          <w:shd w:val="clear" w:color="auto" w:fill="FFFFFF"/>
        </w:rPr>
        <w:t>this</w:t>
      </w:r>
      <w:r w:rsidR="007B1D25" w:rsidRPr="000B45AA">
        <w:rPr>
          <w:bCs/>
          <w:shd w:val="clear" w:color="auto" w:fill="FFFFFF"/>
        </w:rPr>
        <w:t xml:space="preserve"> much resemblance </w:t>
      </w:r>
      <w:r w:rsidRPr="000B45AA">
        <w:rPr>
          <w:bCs/>
          <w:shd w:val="clear" w:color="auto" w:fill="FFFFFF"/>
        </w:rPr>
        <w:t>that it is difficult to differentiate between actual premolars and the supplemental ones</w:t>
      </w:r>
      <w:r w:rsidR="00CA0DDF" w:rsidRPr="000B45AA">
        <w:rPr>
          <w:bCs/>
          <w:shd w:val="clear" w:color="auto" w:fill="FFFFFF"/>
        </w:rPr>
        <w:t xml:space="preserve"> on clinical and radiographic examination</w:t>
      </w:r>
      <w:r w:rsidRPr="000B45AA">
        <w:rPr>
          <w:bCs/>
          <w:shd w:val="clear" w:color="auto" w:fill="FFFFFF"/>
        </w:rPr>
        <w:t xml:space="preserve">. </w:t>
      </w:r>
      <w:proofErr w:type="spellStart"/>
      <w:r w:rsidRPr="000B45AA">
        <w:rPr>
          <w:bCs/>
          <w:shd w:val="clear" w:color="auto" w:fill="FFFFFF"/>
        </w:rPr>
        <w:t>Occlusal</w:t>
      </w:r>
      <w:proofErr w:type="spellEnd"/>
      <w:r w:rsidRPr="000B45AA">
        <w:rPr>
          <w:bCs/>
          <w:shd w:val="clear" w:color="auto" w:fill="FFFFFF"/>
        </w:rPr>
        <w:t xml:space="preserve"> radiographs </w:t>
      </w:r>
      <w:r w:rsidR="00040B92" w:rsidRPr="000B45AA">
        <w:rPr>
          <w:bCs/>
          <w:shd w:val="clear" w:color="auto" w:fill="FFFFFF"/>
        </w:rPr>
        <w:t>revealed</w:t>
      </w:r>
      <w:r w:rsidRPr="000B45AA">
        <w:rPr>
          <w:bCs/>
          <w:shd w:val="clear" w:color="auto" w:fill="FFFFFF"/>
        </w:rPr>
        <w:t xml:space="preserve"> that </w:t>
      </w:r>
      <w:r w:rsidR="00040B92" w:rsidRPr="000B45AA">
        <w:rPr>
          <w:bCs/>
          <w:shd w:val="clear" w:color="auto" w:fill="FFFFFF"/>
        </w:rPr>
        <w:t xml:space="preserve">these teeth </w:t>
      </w:r>
      <w:r w:rsidRPr="000B45AA">
        <w:rPr>
          <w:bCs/>
          <w:shd w:val="clear" w:color="auto" w:fill="FFFFFF"/>
        </w:rPr>
        <w:t xml:space="preserve">were not fused, but were separate supplementary teeth. In </w:t>
      </w:r>
      <w:r w:rsidR="00DB702C" w:rsidRPr="000B45AA">
        <w:rPr>
          <w:bCs/>
          <w:shd w:val="clear" w:color="auto" w:fill="FFFFFF"/>
        </w:rPr>
        <w:t xml:space="preserve">case </w:t>
      </w:r>
      <w:proofErr w:type="gramStart"/>
      <w:r w:rsidR="00DB702C" w:rsidRPr="000B45AA">
        <w:rPr>
          <w:bCs/>
          <w:shd w:val="clear" w:color="auto" w:fill="FFFFFF"/>
        </w:rPr>
        <w:t xml:space="preserve">of </w:t>
      </w:r>
      <w:r w:rsidRPr="000B45AA">
        <w:rPr>
          <w:bCs/>
          <w:shd w:val="clear" w:color="auto" w:fill="FFFFFF"/>
        </w:rPr>
        <w:t xml:space="preserve"> maxilla</w:t>
      </w:r>
      <w:proofErr w:type="gramEnd"/>
      <w:r w:rsidRPr="000B45AA">
        <w:rPr>
          <w:bCs/>
          <w:shd w:val="clear" w:color="auto" w:fill="FFFFFF"/>
        </w:rPr>
        <w:t xml:space="preserve"> the </w:t>
      </w:r>
      <w:r w:rsidR="00DB702C" w:rsidRPr="000B45AA">
        <w:rPr>
          <w:bCs/>
          <w:shd w:val="clear" w:color="auto" w:fill="FFFFFF"/>
        </w:rPr>
        <w:t xml:space="preserve">supplemental </w:t>
      </w:r>
      <w:r w:rsidRPr="000B45AA">
        <w:rPr>
          <w:bCs/>
          <w:shd w:val="clear" w:color="auto" w:fill="FFFFFF"/>
        </w:rPr>
        <w:t xml:space="preserve">premolars were </w:t>
      </w:r>
      <w:r w:rsidR="00DB702C" w:rsidRPr="000B45AA">
        <w:rPr>
          <w:bCs/>
          <w:shd w:val="clear" w:color="auto" w:fill="FFFFFF"/>
        </w:rPr>
        <w:t xml:space="preserve">found to be </w:t>
      </w:r>
      <w:r w:rsidRPr="000B45AA">
        <w:rPr>
          <w:bCs/>
          <w:shd w:val="clear" w:color="auto" w:fill="FFFFFF"/>
        </w:rPr>
        <w:t>impacted</w:t>
      </w:r>
      <w:r w:rsidR="003271BB" w:rsidRPr="000B45AA">
        <w:rPr>
          <w:bCs/>
          <w:shd w:val="clear" w:color="auto" w:fill="FFFFFF"/>
        </w:rPr>
        <w:t xml:space="preserve"> and was present close to the sinus </w:t>
      </w:r>
      <w:proofErr w:type="spellStart"/>
      <w:r w:rsidR="003271BB" w:rsidRPr="000B45AA">
        <w:rPr>
          <w:bCs/>
          <w:shd w:val="clear" w:color="auto" w:fill="FFFFFF"/>
        </w:rPr>
        <w:t>linning</w:t>
      </w:r>
      <w:proofErr w:type="spellEnd"/>
      <w:r w:rsidRPr="000B45AA">
        <w:rPr>
          <w:bCs/>
          <w:shd w:val="clear" w:color="auto" w:fill="FFFFFF"/>
        </w:rPr>
        <w:t xml:space="preserve">. </w:t>
      </w:r>
      <w:r w:rsidR="003271BB" w:rsidRPr="000B45AA">
        <w:rPr>
          <w:bCs/>
          <w:shd w:val="clear" w:color="auto" w:fill="FFFFFF"/>
        </w:rPr>
        <w:t xml:space="preserve">No </w:t>
      </w:r>
      <w:r w:rsidR="003271BB" w:rsidRPr="000B45AA">
        <w:rPr>
          <w:bCs/>
          <w:lang w:val="en-US"/>
        </w:rPr>
        <w:t>association</w:t>
      </w:r>
      <w:r w:rsidRPr="000B45AA">
        <w:rPr>
          <w:bCs/>
          <w:lang w:val="en-US"/>
        </w:rPr>
        <w:t xml:space="preserve"> </w:t>
      </w:r>
      <w:proofErr w:type="gramStart"/>
      <w:r w:rsidRPr="000B45AA">
        <w:rPr>
          <w:bCs/>
          <w:lang w:val="en-US"/>
        </w:rPr>
        <w:t>with  cyst</w:t>
      </w:r>
      <w:proofErr w:type="gramEnd"/>
      <w:r w:rsidRPr="000B45AA">
        <w:rPr>
          <w:bCs/>
          <w:lang w:val="en-US"/>
        </w:rPr>
        <w:t xml:space="preserve"> </w:t>
      </w:r>
      <w:r w:rsidR="003271BB" w:rsidRPr="000B45AA">
        <w:rPr>
          <w:bCs/>
          <w:lang w:val="en-US"/>
        </w:rPr>
        <w:t>or any other lesion was found thus maxillary supplemental premolars were decided</w:t>
      </w:r>
      <w:r w:rsidRPr="000B45AA">
        <w:rPr>
          <w:bCs/>
          <w:lang w:val="en-US"/>
        </w:rPr>
        <w:t xml:space="preserve"> </w:t>
      </w:r>
      <w:r w:rsidR="00FC065C" w:rsidRPr="000B45AA">
        <w:rPr>
          <w:bCs/>
          <w:lang w:val="en-US"/>
        </w:rPr>
        <w:t>to</w:t>
      </w:r>
      <w:r w:rsidRPr="000B45AA">
        <w:rPr>
          <w:bCs/>
          <w:lang w:val="en-US"/>
        </w:rPr>
        <w:t xml:space="preserve"> left in situ for the time being, with regular radiographic and clinical follow-up. For </w:t>
      </w:r>
      <w:proofErr w:type="spellStart"/>
      <w:r w:rsidR="009703FB" w:rsidRPr="000B45AA">
        <w:rPr>
          <w:bCs/>
          <w:lang w:val="en-US"/>
        </w:rPr>
        <w:t>mandibular</w:t>
      </w:r>
      <w:proofErr w:type="spellEnd"/>
      <w:r w:rsidRPr="000B45AA">
        <w:rPr>
          <w:bCs/>
          <w:lang w:val="en-US"/>
        </w:rPr>
        <w:t xml:space="preserve"> supernumerary teeth removal </w:t>
      </w:r>
      <w:r w:rsidR="008761A1" w:rsidRPr="000B45AA">
        <w:rPr>
          <w:bCs/>
          <w:lang w:val="en-US"/>
        </w:rPr>
        <w:t>was</w:t>
      </w:r>
      <w:r w:rsidRPr="000B45AA">
        <w:rPr>
          <w:bCs/>
          <w:lang w:val="en-US"/>
        </w:rPr>
        <w:t xml:space="preserve"> planned </w:t>
      </w:r>
      <w:r w:rsidR="008761A1" w:rsidRPr="000B45AA">
        <w:rPr>
          <w:bCs/>
          <w:lang w:val="en-US"/>
        </w:rPr>
        <w:t xml:space="preserve">with patient's approval. </w:t>
      </w:r>
      <w:r w:rsidR="003271BB" w:rsidRPr="000B45AA">
        <w:rPr>
          <w:bCs/>
          <w:shd w:val="clear" w:color="auto" w:fill="FFFFFF"/>
        </w:rPr>
        <w:t>No new tooth buds were noted anywhere in maxilla or mandible.</w:t>
      </w:r>
      <w:r w:rsidR="00CC4DE5" w:rsidRPr="000B45AA">
        <w:rPr>
          <w:bCs/>
          <w:shd w:val="clear" w:color="auto" w:fill="FFFFFF"/>
        </w:rPr>
        <w:t xml:space="preserve"> </w:t>
      </w:r>
      <w:r w:rsidRPr="000B45AA">
        <w:t>Regular follow up every year was advocated to see any further changes in the dentition.</w:t>
      </w:r>
    </w:p>
    <w:p w:rsidR="00BB2C16" w:rsidRPr="000B45AA" w:rsidRDefault="00BB2C16">
      <w:pPr>
        <w:rPr>
          <w:b/>
        </w:rPr>
      </w:pPr>
    </w:p>
    <w:p w:rsidR="002B0B30" w:rsidRPr="000B45AA" w:rsidRDefault="002B0B30" w:rsidP="007E6823">
      <w:pPr>
        <w:spacing w:before="60" w:line="480" w:lineRule="auto"/>
        <w:rPr>
          <w:b/>
        </w:rPr>
      </w:pPr>
    </w:p>
    <w:p w:rsidR="002B0B30" w:rsidRPr="000B45AA" w:rsidRDefault="002B0B30" w:rsidP="007E6823">
      <w:pPr>
        <w:spacing w:before="60" w:line="480" w:lineRule="auto"/>
        <w:rPr>
          <w:b/>
        </w:rPr>
      </w:pPr>
    </w:p>
    <w:p w:rsidR="004B349E" w:rsidRPr="000B45AA" w:rsidRDefault="007040F2" w:rsidP="007E6823">
      <w:pPr>
        <w:spacing w:before="60" w:line="480" w:lineRule="auto"/>
        <w:rPr>
          <w:b/>
        </w:rPr>
      </w:pPr>
      <w:r w:rsidRPr="000B45AA">
        <w:rPr>
          <w:b/>
        </w:rPr>
        <w:t>Results</w:t>
      </w:r>
      <w:r w:rsidR="00D327B8" w:rsidRPr="000B45AA">
        <w:rPr>
          <w:b/>
        </w:rPr>
        <w:t xml:space="preserve"> of Meta</w:t>
      </w:r>
      <w:r w:rsidR="00066CB7" w:rsidRPr="000B45AA">
        <w:rPr>
          <w:b/>
        </w:rPr>
        <w:t>-A</w:t>
      </w:r>
      <w:r w:rsidR="00D327B8" w:rsidRPr="000B45AA">
        <w:rPr>
          <w:b/>
        </w:rPr>
        <w:t>nalysis</w:t>
      </w:r>
    </w:p>
    <w:p w:rsidR="007040F2" w:rsidRPr="000B45AA" w:rsidRDefault="00917391" w:rsidP="007E6823">
      <w:pPr>
        <w:spacing w:line="480" w:lineRule="auto"/>
        <w:jc w:val="both"/>
      </w:pPr>
      <w:r w:rsidRPr="000B45AA">
        <w:t>A Total of 57</w:t>
      </w:r>
      <w:r w:rsidR="007040F2" w:rsidRPr="000B45AA">
        <w:t xml:space="preserve"> cases of </w:t>
      </w:r>
      <w:r w:rsidR="00042CB1" w:rsidRPr="000B45AA">
        <w:t>non-</w:t>
      </w:r>
      <w:proofErr w:type="spellStart"/>
      <w:r w:rsidR="00042CB1" w:rsidRPr="000B45AA">
        <w:t>syndromic</w:t>
      </w:r>
      <w:proofErr w:type="spellEnd"/>
      <w:r w:rsidR="00042CB1" w:rsidRPr="000B45AA">
        <w:t xml:space="preserve"> multiple supernumerary teeth</w:t>
      </w:r>
      <w:r w:rsidR="007040F2" w:rsidRPr="000B45AA">
        <w:t xml:space="preserve"> describing the presence of five or more supernumeraries were recorded, some of the cases with insufficient information for the s</w:t>
      </w:r>
      <w:r w:rsidR="00CC4DE5" w:rsidRPr="000B45AA">
        <w:t xml:space="preserve">tatistical </w:t>
      </w:r>
      <w:r w:rsidR="00CC4DE5" w:rsidRPr="000B45AA">
        <w:lastRenderedPageBreak/>
        <w:t>study were dismissed</w:t>
      </w:r>
      <w:r w:rsidR="007040F2" w:rsidRPr="000B45AA">
        <w:t xml:space="preserve"> (Table 1)</w:t>
      </w:r>
      <w:r w:rsidR="00CC4DE5" w:rsidRPr="000B45AA">
        <w:t>.</w:t>
      </w:r>
      <w:r w:rsidR="00FC065C" w:rsidRPr="000B45AA">
        <w:t xml:space="preserve"> </w:t>
      </w:r>
      <w:r w:rsidRPr="000B45AA">
        <w:t>A total of 39</w:t>
      </w:r>
      <w:r w:rsidR="00BE44DB" w:rsidRPr="000B45AA">
        <w:t xml:space="preserve"> Male and 1</w:t>
      </w:r>
      <w:r w:rsidRPr="000B45AA">
        <w:t>8</w:t>
      </w:r>
      <w:r w:rsidR="007040F2" w:rsidRPr="000B45AA">
        <w:t xml:space="preserve"> Female with </w:t>
      </w:r>
      <w:r w:rsidR="00042CB1" w:rsidRPr="000B45AA">
        <w:t>non-</w:t>
      </w:r>
      <w:proofErr w:type="spellStart"/>
      <w:r w:rsidR="00042CB1" w:rsidRPr="000B45AA">
        <w:t>syndromic</w:t>
      </w:r>
      <w:proofErr w:type="spellEnd"/>
      <w:r w:rsidR="00042CB1" w:rsidRPr="000B45AA">
        <w:t xml:space="preserve"> multiple supernumerary teeth </w:t>
      </w:r>
      <w:r w:rsidR="007040F2" w:rsidRPr="000B45AA">
        <w:t>and a percentage occurrence was recorded which stated that mandible had more occurrences with 5</w:t>
      </w:r>
      <w:r w:rsidR="00BD22C0" w:rsidRPr="000B45AA">
        <w:t>8.10</w:t>
      </w:r>
      <w:r w:rsidR="00BE44DB" w:rsidRPr="000B45AA">
        <w:t xml:space="preserve">% </w:t>
      </w:r>
      <w:r w:rsidR="00BD22C0" w:rsidRPr="000B45AA">
        <w:t>and maxillary followed with 41.90</w:t>
      </w:r>
      <w:r w:rsidR="00CC4DE5" w:rsidRPr="000B45AA">
        <w:t>%</w:t>
      </w:r>
      <w:r w:rsidR="004E6F58" w:rsidRPr="000B45AA">
        <w:t xml:space="preserve"> (Table 2)</w:t>
      </w:r>
      <w:r w:rsidR="00CC4DE5" w:rsidRPr="000B45AA">
        <w:t>.</w:t>
      </w:r>
    </w:p>
    <w:p w:rsidR="0090706B" w:rsidRPr="000B45AA" w:rsidRDefault="007040F2" w:rsidP="00CC6DD0">
      <w:pPr>
        <w:spacing w:line="480" w:lineRule="auto"/>
        <w:jc w:val="both"/>
      </w:pPr>
      <w:r w:rsidRPr="000B45AA">
        <w:t>Regarding</w:t>
      </w:r>
      <w:r w:rsidR="00BE44DB" w:rsidRPr="000B45AA">
        <w:t xml:space="preserve"> the distribution of teeth as supernumerary teeth, premolar</w:t>
      </w:r>
      <w:r w:rsidR="00BD22C0" w:rsidRPr="000B45AA">
        <w:t xml:space="preserve"> had maximum with 70.48</w:t>
      </w:r>
      <w:r w:rsidR="005859D1" w:rsidRPr="000B45AA">
        <w:t>%, followed by a</w:t>
      </w:r>
      <w:r w:rsidRPr="000B45AA">
        <w:t>nterior</w:t>
      </w:r>
      <w:r w:rsidR="005859D1" w:rsidRPr="000B45AA">
        <w:t xml:space="preserve"> </w:t>
      </w:r>
      <w:r w:rsidR="00BE44DB" w:rsidRPr="000B45AA">
        <w:t>(Incisors and Cani</w:t>
      </w:r>
      <w:r w:rsidR="00BD22C0" w:rsidRPr="000B45AA">
        <w:t>nes) 13.90</w:t>
      </w:r>
      <w:r w:rsidR="00BE44DB" w:rsidRPr="000B45AA">
        <w:t>%</w:t>
      </w:r>
      <w:r w:rsidR="005859D1" w:rsidRPr="000B45AA">
        <w:t xml:space="preserve">, molars 10.86%, </w:t>
      </w:r>
      <w:proofErr w:type="spellStart"/>
      <w:r w:rsidR="005859D1" w:rsidRPr="000B45AA">
        <w:t>d</w:t>
      </w:r>
      <w:r w:rsidR="00BD22C0" w:rsidRPr="000B45AA">
        <w:t>istomolars</w:t>
      </w:r>
      <w:proofErr w:type="spellEnd"/>
      <w:r w:rsidR="00BD22C0" w:rsidRPr="000B45AA">
        <w:t xml:space="preserve"> 3.24</w:t>
      </w:r>
      <w:r w:rsidR="005859D1" w:rsidRPr="000B45AA">
        <w:t xml:space="preserve">% and </w:t>
      </w:r>
      <w:proofErr w:type="spellStart"/>
      <w:r w:rsidR="005859D1" w:rsidRPr="000B45AA">
        <w:t>m</w:t>
      </w:r>
      <w:r w:rsidR="003B4F92" w:rsidRPr="000B45AA">
        <w:t>esiodens</w:t>
      </w:r>
      <w:proofErr w:type="spellEnd"/>
      <w:r w:rsidR="003B4F92" w:rsidRPr="000B45AA">
        <w:t xml:space="preserve"> 1.52</w:t>
      </w:r>
      <w:r w:rsidRPr="000B45AA">
        <w:t>%.</w:t>
      </w:r>
      <w:r w:rsidR="005859D1" w:rsidRPr="000B45AA">
        <w:t xml:space="preserve"> A</w:t>
      </w:r>
      <w:r w:rsidRPr="000B45AA">
        <w:t xml:space="preserve">nalysis </w:t>
      </w:r>
      <w:r w:rsidR="005859D1" w:rsidRPr="000B45AA">
        <w:t xml:space="preserve">of literature </w:t>
      </w:r>
      <w:r w:rsidRPr="000B45AA">
        <w:t xml:space="preserve">was </w:t>
      </w:r>
      <w:r w:rsidR="005859D1" w:rsidRPr="000B45AA">
        <w:t xml:space="preserve">carried </w:t>
      </w:r>
      <w:proofErr w:type="gramStart"/>
      <w:r w:rsidR="005859D1" w:rsidRPr="000B45AA">
        <w:t xml:space="preserve">out </w:t>
      </w:r>
      <w:r w:rsidRPr="000B45AA">
        <w:t xml:space="preserve"> </w:t>
      </w:r>
      <w:r w:rsidR="005859D1" w:rsidRPr="000B45AA">
        <w:t>and</w:t>
      </w:r>
      <w:proofErr w:type="gramEnd"/>
      <w:r w:rsidR="005859D1" w:rsidRPr="000B45AA">
        <w:t xml:space="preserve"> it was found that </w:t>
      </w:r>
      <w:r w:rsidRPr="000B45AA">
        <w:t>distribution sho</w:t>
      </w:r>
      <w:r w:rsidR="005859D1" w:rsidRPr="000B45AA">
        <w:t xml:space="preserve">wed </w:t>
      </w:r>
      <w:r w:rsidR="00702318" w:rsidRPr="000B45AA">
        <w:t>greater percenta</w:t>
      </w:r>
      <w:r w:rsidR="00BD22C0" w:rsidRPr="000B45AA">
        <w:t xml:space="preserve">ge </w:t>
      </w:r>
      <w:r w:rsidR="005859D1" w:rsidRPr="000B45AA">
        <w:t>in males</w:t>
      </w:r>
      <w:r w:rsidR="00BD22C0" w:rsidRPr="000B45AA">
        <w:t xml:space="preserve"> </w:t>
      </w:r>
      <w:r w:rsidR="005859D1" w:rsidRPr="000B45AA">
        <w:t>(</w:t>
      </w:r>
      <w:r w:rsidR="00BD22C0" w:rsidRPr="000B45AA">
        <w:t>69.71%</w:t>
      </w:r>
      <w:r w:rsidR="005859D1" w:rsidRPr="000B45AA">
        <w:t>)</w:t>
      </w:r>
      <w:r w:rsidR="00BD22C0" w:rsidRPr="000B45AA">
        <w:t xml:space="preserve"> </w:t>
      </w:r>
      <w:r w:rsidR="005859D1" w:rsidRPr="000B45AA">
        <w:t xml:space="preserve">as compared to </w:t>
      </w:r>
      <w:r w:rsidR="00BD22C0" w:rsidRPr="000B45AA">
        <w:t xml:space="preserve"> females </w:t>
      </w:r>
      <w:r w:rsidR="005859D1" w:rsidRPr="000B45AA">
        <w:t>(</w:t>
      </w:r>
      <w:r w:rsidR="00BD22C0" w:rsidRPr="000B45AA">
        <w:t>30.29</w:t>
      </w:r>
      <w:r w:rsidRPr="000B45AA">
        <w:t>%</w:t>
      </w:r>
      <w:r w:rsidR="005859D1" w:rsidRPr="000B45AA">
        <w:t>)</w:t>
      </w:r>
      <w:r w:rsidRPr="000B45AA">
        <w:t>.</w:t>
      </w:r>
      <w:r w:rsidR="002B0B30" w:rsidRPr="000B45AA">
        <w:t xml:space="preserve"> Distribution </w:t>
      </w:r>
      <w:r w:rsidR="00CC6DD0" w:rsidRPr="000B45AA">
        <w:t>of supernumerary teeth</w:t>
      </w:r>
      <w:r w:rsidRPr="000B45AA">
        <w:t xml:space="preserve"> </w:t>
      </w:r>
      <w:r w:rsidR="00CC6DD0" w:rsidRPr="000B45AA">
        <w:t xml:space="preserve">in case of males was found to be </w:t>
      </w:r>
      <w:r w:rsidR="003B4F92" w:rsidRPr="000B45AA">
        <w:t>71.17</w:t>
      </w:r>
      <w:r w:rsidR="00CC6DD0" w:rsidRPr="000B45AA">
        <w:t>% in maxilla</w:t>
      </w:r>
      <w:r w:rsidRPr="000B45AA">
        <w:t xml:space="preserve"> and </w:t>
      </w:r>
      <w:r w:rsidR="003B4F92" w:rsidRPr="000B45AA">
        <w:t>68.95</w:t>
      </w:r>
      <w:r w:rsidR="00CC6DD0" w:rsidRPr="000B45AA">
        <w:t>% in mandible where as in case of f</w:t>
      </w:r>
      <w:r w:rsidR="00702318" w:rsidRPr="000B45AA">
        <w:t>emales</w:t>
      </w:r>
      <w:r w:rsidR="00CC6DD0" w:rsidRPr="000B45AA">
        <w:t>, it was found to be 40.25% in maxilla</w:t>
      </w:r>
      <w:r w:rsidR="00702318" w:rsidRPr="000B45AA">
        <w:t xml:space="preserve"> and 59.75</w:t>
      </w:r>
      <w:r w:rsidRPr="000B45AA">
        <w:t xml:space="preserve">% in mandible </w:t>
      </w:r>
      <w:r w:rsidR="009673A7" w:rsidRPr="000B45AA">
        <w:t>(</w:t>
      </w:r>
      <w:r w:rsidR="008230F0" w:rsidRPr="000B45AA">
        <w:t>Table</w:t>
      </w:r>
      <w:r w:rsidR="004E6F58" w:rsidRPr="000B45AA">
        <w:t xml:space="preserve"> 3</w:t>
      </w:r>
      <w:r w:rsidR="009673A7" w:rsidRPr="000B45AA">
        <w:t>)</w:t>
      </w:r>
      <w:r w:rsidR="00CC6DD0" w:rsidRPr="000B45AA">
        <w:t xml:space="preserve">. </w:t>
      </w:r>
      <w:r w:rsidR="002B0B30" w:rsidRPr="000B45AA">
        <w:t>The prevalence of supernumerary teeth in a</w:t>
      </w:r>
      <w:r w:rsidRPr="000B45AA">
        <w:t xml:space="preserve">nterior region in males </w:t>
      </w:r>
      <w:r w:rsidR="002B0B30" w:rsidRPr="000B45AA">
        <w:t xml:space="preserve">was found to be </w:t>
      </w:r>
      <w:r w:rsidR="002F427F" w:rsidRPr="000B45AA">
        <w:t>14.48</w:t>
      </w:r>
      <w:r w:rsidR="00EE683F" w:rsidRPr="000B45AA">
        <w:t xml:space="preserve">% </w:t>
      </w:r>
      <w:r w:rsidR="002B0B30" w:rsidRPr="000B45AA">
        <w:t xml:space="preserve">and in </w:t>
      </w:r>
      <w:r w:rsidR="00CC6DD0" w:rsidRPr="000B45AA">
        <w:t xml:space="preserve"> </w:t>
      </w:r>
      <w:r w:rsidR="002B0B30" w:rsidRPr="000B45AA">
        <w:t xml:space="preserve">females was </w:t>
      </w:r>
      <w:r w:rsidR="00EE683F" w:rsidRPr="000B45AA">
        <w:t>12.58</w:t>
      </w:r>
      <w:r w:rsidRPr="000B45AA">
        <w:t>%</w:t>
      </w:r>
      <w:r w:rsidR="002B0B30" w:rsidRPr="000B45AA">
        <w:t>,</w:t>
      </w:r>
      <w:r w:rsidR="00CC6DD0" w:rsidRPr="000B45AA">
        <w:t xml:space="preserve"> </w:t>
      </w:r>
      <w:r w:rsidR="002B0B30" w:rsidRPr="000B45AA">
        <w:t>in premolar r</w:t>
      </w:r>
      <w:r w:rsidRPr="000B45AA">
        <w:t xml:space="preserve">egion </w:t>
      </w:r>
      <w:r w:rsidR="002B0B30" w:rsidRPr="000B45AA">
        <w:t xml:space="preserve">was </w:t>
      </w:r>
      <w:r w:rsidRPr="000B45AA">
        <w:t xml:space="preserve"> </w:t>
      </w:r>
      <w:r w:rsidR="002F427F" w:rsidRPr="000B45AA">
        <w:t>70.58</w:t>
      </w:r>
      <w:r w:rsidRPr="000B45AA">
        <w:t xml:space="preserve">% </w:t>
      </w:r>
      <w:r w:rsidR="002B0B30" w:rsidRPr="000B45AA">
        <w:t>in males and in</w:t>
      </w:r>
      <w:r w:rsidRPr="000B45AA">
        <w:t xml:space="preserve"> females 6</w:t>
      </w:r>
      <w:r w:rsidR="00EE683F" w:rsidRPr="000B45AA">
        <w:t>7.92</w:t>
      </w:r>
      <w:r w:rsidRPr="000B45AA">
        <w:t>%</w:t>
      </w:r>
      <w:r w:rsidR="002B0B30" w:rsidRPr="000B45AA">
        <w:t xml:space="preserve"> where as in case of molar r</w:t>
      </w:r>
      <w:r w:rsidR="00EE683F" w:rsidRPr="000B45AA">
        <w:t>egion</w:t>
      </w:r>
      <w:r w:rsidR="002B0B30" w:rsidRPr="000B45AA">
        <w:t>,</w:t>
      </w:r>
      <w:r w:rsidR="00EE683F" w:rsidRPr="000B45AA">
        <w:t xml:space="preserve"> </w:t>
      </w:r>
      <w:r w:rsidR="002B0B30" w:rsidRPr="000B45AA">
        <w:t>females showed</w:t>
      </w:r>
      <w:r w:rsidR="002F427F" w:rsidRPr="000B45AA">
        <w:t xml:space="preserve"> higher occurrence </w:t>
      </w:r>
      <w:r w:rsidR="002B0B30" w:rsidRPr="000B45AA">
        <w:t>(</w:t>
      </w:r>
      <w:r w:rsidR="00EE683F" w:rsidRPr="000B45AA">
        <w:t>13.84</w:t>
      </w:r>
      <w:r w:rsidR="002F427F" w:rsidRPr="000B45AA">
        <w:t>%</w:t>
      </w:r>
      <w:r w:rsidR="002B0B30" w:rsidRPr="000B45AA">
        <w:t xml:space="preserve">) </w:t>
      </w:r>
      <w:r w:rsidR="002F427F" w:rsidRPr="000B45AA">
        <w:t xml:space="preserve"> </w:t>
      </w:r>
      <w:r w:rsidR="002B0B30" w:rsidRPr="000B45AA">
        <w:t>as compare to males</w:t>
      </w:r>
      <w:r w:rsidR="002F427F" w:rsidRPr="000B45AA">
        <w:t xml:space="preserve"> </w:t>
      </w:r>
      <w:r w:rsidR="002B0B30" w:rsidRPr="000B45AA">
        <w:t>(</w:t>
      </w:r>
      <w:r w:rsidR="002F427F" w:rsidRPr="000B45AA">
        <w:t>9.56</w:t>
      </w:r>
      <w:r w:rsidRPr="000B45AA">
        <w:t>%</w:t>
      </w:r>
      <w:r w:rsidR="002B0B30" w:rsidRPr="000B45AA">
        <w:t>)</w:t>
      </w:r>
      <w:r w:rsidRPr="000B45AA">
        <w:t>.</w:t>
      </w:r>
      <w:r w:rsidR="00CC6DD0" w:rsidRPr="000B45AA">
        <w:t xml:space="preserve"> </w:t>
      </w:r>
      <w:r w:rsidRPr="000B45AA">
        <w:t xml:space="preserve">The </w:t>
      </w:r>
      <w:r w:rsidR="008230F0" w:rsidRPr="000B45AA">
        <w:t xml:space="preserve">presence of </w:t>
      </w:r>
      <w:proofErr w:type="spellStart"/>
      <w:r w:rsidR="008230F0" w:rsidRPr="000B45AA">
        <w:t>d</w:t>
      </w:r>
      <w:r w:rsidRPr="000B45AA">
        <w:t>istomolar</w:t>
      </w:r>
      <w:proofErr w:type="spellEnd"/>
      <w:r w:rsidRPr="000B45AA">
        <w:t xml:space="preserve"> </w:t>
      </w:r>
      <w:r w:rsidR="008230F0" w:rsidRPr="000B45AA">
        <w:t xml:space="preserve">in males was found to be </w:t>
      </w:r>
      <w:r w:rsidR="002F427F" w:rsidRPr="000B45AA">
        <w:t>3.01</w:t>
      </w:r>
      <w:r w:rsidR="00EE683F" w:rsidRPr="000B45AA">
        <w:t xml:space="preserve">% and </w:t>
      </w:r>
      <w:r w:rsidR="008230F0" w:rsidRPr="000B45AA">
        <w:t xml:space="preserve">in females was </w:t>
      </w:r>
      <w:r w:rsidR="00EE683F" w:rsidRPr="000B45AA">
        <w:t>3.77%</w:t>
      </w:r>
      <w:r w:rsidR="008230F0" w:rsidRPr="000B45AA">
        <w:t xml:space="preserve"> and the </w:t>
      </w:r>
      <w:proofErr w:type="gramStart"/>
      <w:r w:rsidR="008230F0" w:rsidRPr="000B45AA">
        <w:t>occurrence  of</w:t>
      </w:r>
      <w:proofErr w:type="gramEnd"/>
      <w:r w:rsidR="008230F0" w:rsidRPr="000B45AA">
        <w:t xml:space="preserve"> </w:t>
      </w:r>
      <w:proofErr w:type="spellStart"/>
      <w:r w:rsidR="008230F0" w:rsidRPr="000B45AA">
        <w:t>m</w:t>
      </w:r>
      <w:r w:rsidR="002F427F" w:rsidRPr="000B45AA">
        <w:t>esiodens</w:t>
      </w:r>
      <w:proofErr w:type="spellEnd"/>
      <w:r w:rsidR="002F427F" w:rsidRPr="000B45AA">
        <w:t xml:space="preserve"> </w:t>
      </w:r>
      <w:r w:rsidR="008230F0" w:rsidRPr="000B45AA">
        <w:t>in males was found to be</w:t>
      </w:r>
      <w:r w:rsidR="002F427F" w:rsidRPr="000B45AA">
        <w:t xml:space="preserve"> 1.37</w:t>
      </w:r>
      <w:r w:rsidR="00EE683F" w:rsidRPr="000B45AA">
        <w:t>%</w:t>
      </w:r>
      <w:r w:rsidR="002F427F" w:rsidRPr="000B45AA">
        <w:t xml:space="preserve"> </w:t>
      </w:r>
      <w:r w:rsidR="00EE683F" w:rsidRPr="000B45AA">
        <w:t>and 1.89</w:t>
      </w:r>
      <w:r w:rsidRPr="000B45AA">
        <w:t xml:space="preserve">% in </w:t>
      </w:r>
      <w:r w:rsidR="00EE683F" w:rsidRPr="000B45AA">
        <w:t>females.</w:t>
      </w:r>
      <w:r w:rsidRPr="000B45AA">
        <w:tab/>
      </w:r>
    </w:p>
    <w:p w:rsidR="0090706B" w:rsidRPr="000B45AA" w:rsidRDefault="0090706B" w:rsidP="007E6823">
      <w:pPr>
        <w:spacing w:before="60" w:line="480" w:lineRule="auto"/>
        <w:outlineLvl w:val="0"/>
        <w:rPr>
          <w:b/>
        </w:rPr>
      </w:pPr>
      <w:r w:rsidRPr="000B45AA">
        <w:rPr>
          <w:b/>
        </w:rPr>
        <w:t>Discussion:</w:t>
      </w:r>
    </w:p>
    <w:p w:rsidR="007040F2" w:rsidRPr="000B45AA" w:rsidRDefault="007040F2" w:rsidP="007E6823">
      <w:pPr>
        <w:spacing w:line="480" w:lineRule="auto"/>
        <w:jc w:val="both"/>
        <w:rPr>
          <w:bCs/>
          <w:vertAlign w:val="superscript"/>
          <w:lang w:val="en-US"/>
        </w:rPr>
      </w:pPr>
      <w:r w:rsidRPr="000B45AA">
        <w:rPr>
          <w:bCs/>
          <w:lang w:val="en-US"/>
        </w:rPr>
        <w:t>Prevalence of the supern</w:t>
      </w:r>
      <w:r w:rsidR="00CA7CD7" w:rsidRPr="000B45AA">
        <w:rPr>
          <w:bCs/>
          <w:lang w:val="en-US"/>
        </w:rPr>
        <w:t xml:space="preserve">umerary in permanent dentition </w:t>
      </w:r>
      <w:r w:rsidR="00191E6C" w:rsidRPr="000B45AA">
        <w:rPr>
          <w:bCs/>
          <w:lang w:val="en-US"/>
        </w:rPr>
        <w:t>i</w:t>
      </w:r>
      <w:r w:rsidRPr="000B45AA">
        <w:rPr>
          <w:bCs/>
          <w:lang w:val="en-US"/>
        </w:rPr>
        <w:t>s found to be 0.26% and it ha</w:t>
      </w:r>
      <w:r w:rsidR="00191E6C" w:rsidRPr="000B45AA">
        <w:rPr>
          <w:bCs/>
          <w:lang w:val="en-US"/>
        </w:rPr>
        <w:t>s</w:t>
      </w:r>
      <w:r w:rsidRPr="000B45AA">
        <w:rPr>
          <w:bCs/>
          <w:lang w:val="en-US"/>
        </w:rPr>
        <w:t xml:space="preserve"> been seen that </w:t>
      </w:r>
      <w:r w:rsidR="00700710" w:rsidRPr="000B45AA">
        <w:rPr>
          <w:bCs/>
          <w:lang w:val="en-US"/>
        </w:rPr>
        <w:t>7</w:t>
      </w:r>
      <w:r w:rsidRPr="000B45AA">
        <w:rPr>
          <w:bCs/>
          <w:lang w:val="en-US"/>
        </w:rPr>
        <w:t xml:space="preserve">0% of all supernumerary cases </w:t>
      </w:r>
      <w:r w:rsidR="00191E6C" w:rsidRPr="000B45AA">
        <w:rPr>
          <w:bCs/>
          <w:lang w:val="en-US"/>
        </w:rPr>
        <w:t>a</w:t>
      </w:r>
      <w:r w:rsidR="00CA7CD7" w:rsidRPr="000B45AA">
        <w:rPr>
          <w:bCs/>
          <w:lang w:val="en-US"/>
        </w:rPr>
        <w:t>re</w:t>
      </w:r>
      <w:r w:rsidRPr="000B45AA">
        <w:rPr>
          <w:bCs/>
          <w:lang w:val="en-US"/>
        </w:rPr>
        <w:t xml:space="preserve"> premolars</w:t>
      </w:r>
      <w:proofErr w:type="gramStart"/>
      <w:r w:rsidRPr="000B45AA">
        <w:rPr>
          <w:bCs/>
          <w:lang w:val="en-US"/>
        </w:rPr>
        <w:t>.</w:t>
      </w:r>
      <w:r w:rsidR="00CC14FF" w:rsidRPr="000B45AA">
        <w:rPr>
          <w:bCs/>
          <w:lang w:val="en-US"/>
        </w:rPr>
        <w:t>[</w:t>
      </w:r>
      <w:proofErr w:type="gramEnd"/>
      <w:r w:rsidRPr="000B45AA">
        <w:rPr>
          <w:bCs/>
          <w:lang w:val="en-US"/>
        </w:rPr>
        <w:t>11</w:t>
      </w:r>
      <w:r w:rsidR="00CC14FF" w:rsidRPr="000B45AA">
        <w:rPr>
          <w:bCs/>
          <w:lang w:val="en-US"/>
        </w:rPr>
        <w:t>]</w:t>
      </w:r>
      <w:r w:rsidRPr="000B45AA">
        <w:rPr>
          <w:bCs/>
          <w:lang w:val="en-US"/>
        </w:rPr>
        <w:t xml:space="preserve"> The </w:t>
      </w:r>
      <w:r w:rsidR="00191E6C" w:rsidRPr="000B45AA">
        <w:rPr>
          <w:bCs/>
          <w:lang w:val="en-US"/>
        </w:rPr>
        <w:t xml:space="preserve">occurrence of </w:t>
      </w:r>
      <w:r w:rsidRPr="000B45AA">
        <w:rPr>
          <w:bCs/>
          <w:lang w:val="en-US"/>
        </w:rPr>
        <w:t xml:space="preserve">supernumerary teeth </w:t>
      </w:r>
      <w:r w:rsidR="00191E6C" w:rsidRPr="000B45AA">
        <w:rPr>
          <w:bCs/>
          <w:lang w:val="en-US"/>
        </w:rPr>
        <w:t>is more in case of m</w:t>
      </w:r>
      <w:r w:rsidRPr="000B45AA">
        <w:rPr>
          <w:bCs/>
          <w:lang w:val="en-US"/>
        </w:rPr>
        <w:t>andible</w:t>
      </w:r>
      <w:r w:rsidR="00191E6C" w:rsidRPr="000B45AA">
        <w:rPr>
          <w:bCs/>
          <w:lang w:val="en-US"/>
        </w:rPr>
        <w:t xml:space="preserve"> as compare to maxilla</w:t>
      </w:r>
      <w:r w:rsidRPr="000B45AA">
        <w:rPr>
          <w:bCs/>
          <w:lang w:val="en-US"/>
        </w:rPr>
        <w:t>.</w:t>
      </w:r>
      <w:r w:rsidRPr="000B45AA">
        <w:rPr>
          <w:bCs/>
          <w:vertAlign w:val="superscript"/>
          <w:lang w:val="en-US"/>
        </w:rPr>
        <w:t>12</w:t>
      </w:r>
      <w:r w:rsidRPr="000B45AA">
        <w:rPr>
          <w:bCs/>
          <w:lang w:val="en-US"/>
        </w:rPr>
        <w:t xml:space="preserve"> It has been </w:t>
      </w:r>
      <w:r w:rsidR="00191E6C" w:rsidRPr="000B45AA">
        <w:rPr>
          <w:bCs/>
          <w:lang w:val="en-US"/>
        </w:rPr>
        <w:t>found</w:t>
      </w:r>
      <w:r w:rsidRPr="000B45AA">
        <w:rPr>
          <w:bCs/>
          <w:lang w:val="en-US"/>
        </w:rPr>
        <w:t xml:space="preserve"> that </w:t>
      </w:r>
      <w:r w:rsidR="00191E6C" w:rsidRPr="000B45AA">
        <w:rPr>
          <w:bCs/>
          <w:lang w:val="en-US"/>
        </w:rPr>
        <w:t xml:space="preserve">prevalence of </w:t>
      </w:r>
      <w:r w:rsidRPr="000B45AA">
        <w:rPr>
          <w:bCs/>
          <w:lang w:val="en-US"/>
        </w:rPr>
        <w:t xml:space="preserve">single supernumerary </w:t>
      </w:r>
      <w:r w:rsidR="00191E6C" w:rsidRPr="000B45AA">
        <w:rPr>
          <w:bCs/>
          <w:lang w:val="en-US"/>
        </w:rPr>
        <w:t xml:space="preserve">teeth accounts for 86% cases, for </w:t>
      </w:r>
      <w:r w:rsidRPr="000B45AA">
        <w:rPr>
          <w:bCs/>
          <w:lang w:val="en-US"/>
        </w:rPr>
        <w:t xml:space="preserve">double </w:t>
      </w:r>
      <w:r w:rsidR="00191E6C" w:rsidRPr="000B45AA">
        <w:rPr>
          <w:bCs/>
          <w:lang w:val="en-US"/>
        </w:rPr>
        <w:t>is</w:t>
      </w:r>
      <w:r w:rsidRPr="000B45AA">
        <w:rPr>
          <w:bCs/>
          <w:lang w:val="en-US"/>
        </w:rPr>
        <w:t xml:space="preserve"> 12% cases and</w:t>
      </w:r>
      <w:r w:rsidR="00191E6C" w:rsidRPr="000B45AA">
        <w:rPr>
          <w:bCs/>
          <w:lang w:val="en-US"/>
        </w:rPr>
        <w:t xml:space="preserve"> for </w:t>
      </w:r>
      <w:r w:rsidRPr="000B45AA">
        <w:rPr>
          <w:bCs/>
          <w:lang w:val="en-US"/>
        </w:rPr>
        <w:t xml:space="preserve"> multiple supernumerary </w:t>
      </w:r>
      <w:r w:rsidR="00191E6C" w:rsidRPr="000B45AA">
        <w:rPr>
          <w:bCs/>
          <w:lang w:val="en-US"/>
        </w:rPr>
        <w:t>teeth it has been found to be</w:t>
      </w:r>
      <w:r w:rsidRPr="000B45AA">
        <w:rPr>
          <w:bCs/>
          <w:lang w:val="en-US"/>
        </w:rPr>
        <w:t xml:space="preserve"> less than 1% cases. Also the prevalence of supernumerary teeth was found to be more frequent in males than females, the ratio being 1:2.3</w:t>
      </w:r>
      <w:proofErr w:type="gramStart"/>
      <w:r w:rsidRPr="000B45AA">
        <w:rPr>
          <w:bCs/>
          <w:lang w:val="en-US"/>
        </w:rPr>
        <w:t>.</w:t>
      </w:r>
      <w:r w:rsidR="00CC14FF" w:rsidRPr="000B45AA">
        <w:rPr>
          <w:bCs/>
          <w:lang w:val="en-US"/>
        </w:rPr>
        <w:t>[</w:t>
      </w:r>
      <w:proofErr w:type="gramEnd"/>
      <w:r w:rsidRPr="000B45AA">
        <w:rPr>
          <w:bCs/>
          <w:lang w:val="en-US"/>
        </w:rPr>
        <w:t>4,13,11</w:t>
      </w:r>
      <w:r w:rsidR="00CC14FF" w:rsidRPr="000B45AA">
        <w:rPr>
          <w:bCs/>
          <w:lang w:val="en-US"/>
        </w:rPr>
        <w:t>]</w:t>
      </w:r>
    </w:p>
    <w:p w:rsidR="00E94D15" w:rsidRPr="000B45AA" w:rsidRDefault="00E94D15" w:rsidP="007E6823">
      <w:pPr>
        <w:spacing w:line="480" w:lineRule="auto"/>
        <w:jc w:val="both"/>
        <w:rPr>
          <w:bCs/>
          <w:lang w:val="en-US"/>
        </w:rPr>
      </w:pPr>
    </w:p>
    <w:p w:rsidR="007040F2" w:rsidRPr="000B45AA" w:rsidRDefault="007040F2" w:rsidP="007E6823">
      <w:pPr>
        <w:spacing w:line="480" w:lineRule="auto"/>
        <w:jc w:val="both"/>
        <w:rPr>
          <w:bCs/>
          <w:lang w:val="en-US"/>
        </w:rPr>
      </w:pPr>
      <w:r w:rsidRPr="000B45AA">
        <w:rPr>
          <w:bCs/>
          <w:lang w:val="en-US"/>
        </w:rPr>
        <w:t>Supernumerary teeth may occur with or without more than twenty syndromes and developmental conditions. However non-</w:t>
      </w:r>
      <w:proofErr w:type="spellStart"/>
      <w:r w:rsidRPr="000B45AA">
        <w:rPr>
          <w:bCs/>
          <w:lang w:val="en-US"/>
        </w:rPr>
        <w:t>syndromic</w:t>
      </w:r>
      <w:proofErr w:type="spellEnd"/>
      <w:r w:rsidRPr="000B45AA">
        <w:rPr>
          <w:bCs/>
          <w:lang w:val="en-US"/>
        </w:rPr>
        <w:t xml:space="preserve"> multiple supernumeraries are rarely encountered</w:t>
      </w:r>
      <w:proofErr w:type="gramStart"/>
      <w:r w:rsidRPr="000B45AA">
        <w:rPr>
          <w:bCs/>
          <w:lang w:val="en-US"/>
        </w:rPr>
        <w:t>.</w:t>
      </w:r>
      <w:r w:rsidR="00CC14FF" w:rsidRPr="000B45AA">
        <w:rPr>
          <w:bCs/>
          <w:lang w:val="en-US"/>
        </w:rPr>
        <w:t>[</w:t>
      </w:r>
      <w:proofErr w:type="gramEnd"/>
      <w:r w:rsidRPr="000B45AA">
        <w:rPr>
          <w:bCs/>
          <w:lang w:val="en-US"/>
        </w:rPr>
        <w:t>7,14,15,16</w:t>
      </w:r>
      <w:r w:rsidR="00CC14FF" w:rsidRPr="000B45AA">
        <w:rPr>
          <w:bCs/>
          <w:lang w:val="en-US"/>
        </w:rPr>
        <w:t xml:space="preserve">] </w:t>
      </w:r>
      <w:r w:rsidR="00C67A7F" w:rsidRPr="000B45AA">
        <w:rPr>
          <w:bCs/>
          <w:lang w:val="en-US"/>
        </w:rPr>
        <w:t>In the present case patient had insignificant medical history thus possibilities of any syndromes was ruled out. The</w:t>
      </w:r>
      <w:r w:rsidRPr="000B45AA">
        <w:rPr>
          <w:bCs/>
          <w:lang w:val="en-US"/>
        </w:rPr>
        <w:t xml:space="preserve"> theories of formation </w:t>
      </w:r>
      <w:r w:rsidR="00C67A7F" w:rsidRPr="000B45AA">
        <w:rPr>
          <w:bCs/>
          <w:lang w:val="en-US"/>
        </w:rPr>
        <w:t xml:space="preserve">of supernumerary teeth include </w:t>
      </w:r>
      <w:proofErr w:type="spellStart"/>
      <w:r w:rsidR="00C67A7F" w:rsidRPr="000B45AA">
        <w:rPr>
          <w:bCs/>
          <w:lang w:val="en-US"/>
        </w:rPr>
        <w:t>a</w:t>
      </w:r>
      <w:r w:rsidRPr="000B45AA">
        <w:rPr>
          <w:bCs/>
          <w:lang w:val="en-US"/>
        </w:rPr>
        <w:t>tavision</w:t>
      </w:r>
      <w:proofErr w:type="spellEnd"/>
      <w:r w:rsidRPr="000B45AA">
        <w:rPr>
          <w:bCs/>
          <w:lang w:val="en-US"/>
        </w:rPr>
        <w:t xml:space="preserve">, splitting of the tooth bud and a combination of genetic and environmental factors. </w:t>
      </w:r>
      <w:r w:rsidR="00FE40BF" w:rsidRPr="000B45AA">
        <w:rPr>
          <w:bCs/>
          <w:lang w:val="en-US"/>
        </w:rPr>
        <w:t>T</w:t>
      </w:r>
      <w:r w:rsidRPr="000B45AA">
        <w:rPr>
          <w:bCs/>
          <w:lang w:val="en-US"/>
        </w:rPr>
        <w:t xml:space="preserve">he most accepted theory is hyperactivity of the </w:t>
      </w:r>
      <w:r w:rsidRPr="000B45AA">
        <w:rPr>
          <w:bCs/>
          <w:lang w:val="en-US"/>
        </w:rPr>
        <w:lastRenderedPageBreak/>
        <w:t xml:space="preserve">dental lamina. </w:t>
      </w:r>
      <w:r w:rsidR="00C67A7F" w:rsidRPr="000B45AA">
        <w:rPr>
          <w:bCs/>
          <w:lang w:val="en-US"/>
        </w:rPr>
        <w:t xml:space="preserve"> </w:t>
      </w:r>
      <w:r w:rsidRPr="000B45AA">
        <w:rPr>
          <w:bCs/>
          <w:lang w:val="en-US"/>
        </w:rPr>
        <w:t xml:space="preserve">According to Gardiner, late developing (post permanent) supernumerary teeth develop from the proliferation of the dental lamina after the permanent dentition is completed. </w:t>
      </w:r>
      <w:r w:rsidR="00C67A7F" w:rsidRPr="000B45AA">
        <w:rPr>
          <w:bCs/>
          <w:lang w:val="en-US"/>
        </w:rPr>
        <w:t xml:space="preserve">The associated </w:t>
      </w:r>
      <w:r w:rsidRPr="000B45AA">
        <w:rPr>
          <w:bCs/>
          <w:lang w:val="en-US"/>
        </w:rPr>
        <w:t xml:space="preserve">syndromes and developmental conditions </w:t>
      </w:r>
      <w:r w:rsidR="00C67A7F" w:rsidRPr="000B45AA">
        <w:rPr>
          <w:bCs/>
          <w:lang w:val="en-US"/>
        </w:rPr>
        <w:t xml:space="preserve">with supernumerary teeth include </w:t>
      </w:r>
      <w:proofErr w:type="spellStart"/>
      <w:r w:rsidRPr="000B45AA">
        <w:rPr>
          <w:bCs/>
          <w:lang w:val="en-US"/>
        </w:rPr>
        <w:t>cleidocranial</w:t>
      </w:r>
      <w:proofErr w:type="spellEnd"/>
      <w:r w:rsidRPr="000B45AA">
        <w:rPr>
          <w:bCs/>
          <w:lang w:val="en-US"/>
        </w:rPr>
        <w:t xml:space="preserve"> dysplasia, Gardner’s syndrome, cleft lip and cleft palate</w:t>
      </w:r>
      <w:proofErr w:type="gramStart"/>
      <w:r w:rsidRPr="000B45AA">
        <w:rPr>
          <w:bCs/>
          <w:lang w:val="en-US"/>
        </w:rPr>
        <w:t>.</w:t>
      </w:r>
      <w:r w:rsidR="00CC14FF" w:rsidRPr="000B45AA">
        <w:rPr>
          <w:bCs/>
          <w:lang w:val="en-US"/>
        </w:rPr>
        <w:t>[</w:t>
      </w:r>
      <w:proofErr w:type="gramEnd"/>
      <w:r w:rsidRPr="000B45AA">
        <w:rPr>
          <w:bCs/>
          <w:lang w:val="en-US"/>
        </w:rPr>
        <w:t>13,17</w:t>
      </w:r>
      <w:r w:rsidR="00C67A7F" w:rsidRPr="000B45AA">
        <w:rPr>
          <w:bCs/>
          <w:lang w:val="en-US"/>
        </w:rPr>
        <w:t>,</w:t>
      </w:r>
      <w:r w:rsidRPr="000B45AA">
        <w:rPr>
          <w:bCs/>
          <w:lang w:val="en-US"/>
        </w:rPr>
        <w:t>18</w:t>
      </w:r>
      <w:r w:rsidR="00CC14FF" w:rsidRPr="000B45AA">
        <w:rPr>
          <w:bCs/>
          <w:lang w:val="en-US"/>
        </w:rPr>
        <w:t>]</w:t>
      </w:r>
      <w:r w:rsidRPr="000B45AA">
        <w:rPr>
          <w:bCs/>
          <w:lang w:val="en-US"/>
        </w:rPr>
        <w:t xml:space="preserve"> Supernumerary teeth are usually asymptomatic and in most cases are diagnosed by chance. </w:t>
      </w:r>
      <w:proofErr w:type="spellStart"/>
      <w:r w:rsidRPr="000B45AA">
        <w:rPr>
          <w:bCs/>
          <w:lang w:val="en-US"/>
        </w:rPr>
        <w:t>Bodin</w:t>
      </w:r>
      <w:proofErr w:type="spellEnd"/>
      <w:r w:rsidRPr="000B45AA">
        <w:rPr>
          <w:bCs/>
          <w:lang w:val="en-US"/>
        </w:rPr>
        <w:t xml:space="preserve"> reported only 2% of Supernumerary teeth undergo pathological changes</w:t>
      </w:r>
      <w:proofErr w:type="gramStart"/>
      <w:r w:rsidRPr="000B45AA">
        <w:rPr>
          <w:bCs/>
          <w:lang w:val="en-US"/>
        </w:rPr>
        <w:t>.</w:t>
      </w:r>
      <w:r w:rsidR="00CC14FF" w:rsidRPr="000B45AA">
        <w:rPr>
          <w:bCs/>
          <w:lang w:val="en-US"/>
        </w:rPr>
        <w:t>[</w:t>
      </w:r>
      <w:proofErr w:type="gramEnd"/>
      <w:r w:rsidR="00CC14FF" w:rsidRPr="000B45AA">
        <w:rPr>
          <w:bCs/>
          <w:lang w:val="en-US"/>
        </w:rPr>
        <w:t>14]</w:t>
      </w:r>
      <w:r w:rsidRPr="000B45AA">
        <w:rPr>
          <w:bCs/>
          <w:lang w:val="en-US"/>
        </w:rPr>
        <w:t xml:space="preserve"> Nevertheless, the most commonly encountered complica</w:t>
      </w:r>
      <w:r w:rsidR="003A76DE" w:rsidRPr="000B45AA">
        <w:rPr>
          <w:bCs/>
          <w:lang w:val="en-US"/>
        </w:rPr>
        <w:t xml:space="preserve">tions with these teeth are </w:t>
      </w:r>
      <w:proofErr w:type="spellStart"/>
      <w:r w:rsidR="003A76DE" w:rsidRPr="000B45AA">
        <w:rPr>
          <w:bCs/>
          <w:lang w:val="en-US"/>
        </w:rPr>
        <w:t>dent</w:t>
      </w:r>
      <w:r w:rsidRPr="000B45AA">
        <w:rPr>
          <w:bCs/>
          <w:lang w:val="en-US"/>
        </w:rPr>
        <w:t>igerous</w:t>
      </w:r>
      <w:proofErr w:type="spellEnd"/>
      <w:r w:rsidRPr="000B45AA">
        <w:rPr>
          <w:bCs/>
          <w:lang w:val="en-US"/>
        </w:rPr>
        <w:t xml:space="preserve"> cyst and root </w:t>
      </w:r>
      <w:proofErr w:type="spellStart"/>
      <w:r w:rsidRPr="000B45AA">
        <w:rPr>
          <w:bCs/>
          <w:lang w:val="en-US"/>
        </w:rPr>
        <w:t>resorption</w:t>
      </w:r>
      <w:proofErr w:type="spellEnd"/>
      <w:r w:rsidRPr="000B45AA">
        <w:rPr>
          <w:bCs/>
          <w:lang w:val="en-US"/>
        </w:rPr>
        <w:t xml:space="preserve"> of the adjacent tooth.</w:t>
      </w:r>
      <w:r w:rsidR="00CC14FF" w:rsidRPr="000B45AA">
        <w:rPr>
          <w:bCs/>
          <w:lang w:val="en-US"/>
        </w:rPr>
        <w:t>[</w:t>
      </w:r>
      <w:r w:rsidRPr="000B45AA">
        <w:rPr>
          <w:bCs/>
          <w:lang w:val="en-US"/>
        </w:rPr>
        <w:t>2</w:t>
      </w:r>
      <w:r w:rsidR="00CC14FF" w:rsidRPr="000B45AA">
        <w:rPr>
          <w:bCs/>
          <w:lang w:val="en-US"/>
        </w:rPr>
        <w:t>]</w:t>
      </w:r>
      <w:r w:rsidR="003A76DE" w:rsidRPr="000B45AA">
        <w:rPr>
          <w:bCs/>
          <w:lang w:val="en-US"/>
        </w:rPr>
        <w:t xml:space="preserve"> However, in the present case such findings were not present.</w:t>
      </w:r>
    </w:p>
    <w:p w:rsidR="00835C83" w:rsidRPr="000B45AA" w:rsidRDefault="007040F2" w:rsidP="007E6823">
      <w:pPr>
        <w:spacing w:line="480" w:lineRule="auto"/>
        <w:jc w:val="both"/>
      </w:pPr>
      <w:r w:rsidRPr="000B45AA">
        <w:rPr>
          <w:bCs/>
          <w:lang w:val="en-US"/>
        </w:rPr>
        <w:t xml:space="preserve">The compression of supernumerary </w:t>
      </w:r>
      <w:r w:rsidR="00FC065C" w:rsidRPr="000B45AA">
        <w:rPr>
          <w:bCs/>
          <w:lang w:val="en-US"/>
        </w:rPr>
        <w:t xml:space="preserve">teeth </w:t>
      </w:r>
      <w:r w:rsidRPr="000B45AA">
        <w:rPr>
          <w:bCs/>
          <w:lang w:val="en-US"/>
        </w:rPr>
        <w:t xml:space="preserve">on the adjacent teeth and their closeness to the mental and inferior dental nerves may lead to pain. According to </w:t>
      </w:r>
      <w:r w:rsidR="00FC065C" w:rsidRPr="000B45AA">
        <w:rPr>
          <w:bCs/>
          <w:lang w:val="en-US"/>
        </w:rPr>
        <w:t xml:space="preserve">literature available some authors suggest </w:t>
      </w:r>
      <w:proofErr w:type="gramStart"/>
      <w:r w:rsidR="00FC065C" w:rsidRPr="000B45AA">
        <w:rPr>
          <w:bCs/>
          <w:lang w:val="en-US"/>
        </w:rPr>
        <w:t xml:space="preserve">that </w:t>
      </w:r>
      <w:r w:rsidRPr="000B45AA">
        <w:rPr>
          <w:bCs/>
          <w:lang w:val="en-US"/>
        </w:rPr>
        <w:t xml:space="preserve"> removal</w:t>
      </w:r>
      <w:proofErr w:type="gramEnd"/>
      <w:r w:rsidRPr="000B45AA">
        <w:rPr>
          <w:bCs/>
          <w:lang w:val="en-US"/>
        </w:rPr>
        <w:t xml:space="preserve"> of these teeth is </w:t>
      </w:r>
      <w:r w:rsidR="00FC065C" w:rsidRPr="000B45AA">
        <w:rPr>
          <w:bCs/>
          <w:lang w:val="en-US"/>
        </w:rPr>
        <w:t xml:space="preserve">the </w:t>
      </w:r>
      <w:r w:rsidRPr="000B45AA">
        <w:rPr>
          <w:bCs/>
          <w:lang w:val="en-US"/>
        </w:rPr>
        <w:t xml:space="preserve">only method of treatment. The timing of removal is important. Whenever these teeth are associated with any pathological changes or whenever they hinder eruption of, or </w:t>
      </w:r>
      <w:proofErr w:type="gramStart"/>
      <w:r w:rsidRPr="000B45AA">
        <w:rPr>
          <w:bCs/>
          <w:lang w:val="en-US"/>
        </w:rPr>
        <w:t>cause</w:t>
      </w:r>
      <w:proofErr w:type="gramEnd"/>
      <w:r w:rsidRPr="000B45AA">
        <w:rPr>
          <w:bCs/>
          <w:lang w:val="en-US"/>
        </w:rPr>
        <w:t xml:space="preserve"> mal-position of permanent teeth and removal outweighs benefits they should </w:t>
      </w:r>
      <w:r w:rsidR="00FC065C" w:rsidRPr="000B45AA">
        <w:rPr>
          <w:bCs/>
          <w:lang w:val="en-US"/>
        </w:rPr>
        <w:t>be removed</w:t>
      </w:r>
      <w:r w:rsidRPr="000B45AA">
        <w:rPr>
          <w:bCs/>
          <w:lang w:val="en-US"/>
        </w:rPr>
        <w:t>.</w:t>
      </w:r>
      <w:r w:rsidR="00CB6022" w:rsidRPr="000B45AA">
        <w:rPr>
          <w:bCs/>
          <w:lang w:val="en-US"/>
        </w:rPr>
        <w:t xml:space="preserve"> </w:t>
      </w:r>
      <w:r w:rsidR="00FC065C" w:rsidRPr="000B45AA">
        <w:t>[</w:t>
      </w:r>
      <w:r w:rsidR="00CC14FF" w:rsidRPr="000B45AA">
        <w:t>21</w:t>
      </w:r>
      <w:proofErr w:type="gramStart"/>
      <w:r w:rsidR="00CC14FF" w:rsidRPr="000B45AA">
        <w:t>,26,32,59</w:t>
      </w:r>
      <w:proofErr w:type="gramEnd"/>
      <w:r w:rsidR="00CC14FF" w:rsidRPr="000B45AA">
        <w:t>]</w:t>
      </w:r>
    </w:p>
    <w:p w:rsidR="007040F2" w:rsidRPr="000B45AA" w:rsidRDefault="00BA579B" w:rsidP="007E6823">
      <w:pPr>
        <w:spacing w:line="480" w:lineRule="auto"/>
        <w:jc w:val="both"/>
        <w:rPr>
          <w:bCs/>
          <w:lang w:val="en-US"/>
        </w:rPr>
      </w:pPr>
      <w:r w:rsidRPr="000B45AA">
        <w:t>The meta-</w:t>
      </w:r>
      <w:r w:rsidR="007040F2" w:rsidRPr="000B45AA">
        <w:t xml:space="preserve">analysis </w:t>
      </w:r>
      <w:r w:rsidR="00C97DE8" w:rsidRPr="000B45AA">
        <w:t>has revealed that the prevalence of supernumerary teeth</w:t>
      </w:r>
      <w:r w:rsidR="007040F2" w:rsidRPr="000B45AA">
        <w:t xml:space="preserve"> range</w:t>
      </w:r>
      <w:r w:rsidR="00C97DE8" w:rsidRPr="000B45AA">
        <w:t>s</w:t>
      </w:r>
      <w:r w:rsidR="007040F2" w:rsidRPr="000B45AA">
        <w:t xml:space="preserve"> from 1.30% to 68.02%, with more frequency in males</w:t>
      </w:r>
      <w:r w:rsidR="00C97DE8" w:rsidRPr="000B45AA">
        <w:t xml:space="preserve"> </w:t>
      </w:r>
      <w:r w:rsidR="007040F2" w:rsidRPr="000B45AA">
        <w:t xml:space="preserve">as compared to females. </w:t>
      </w:r>
      <w:r w:rsidR="00C97DE8" w:rsidRPr="000B45AA">
        <w:rPr>
          <w:bCs/>
          <w:lang w:val="en-US"/>
        </w:rPr>
        <w:t>Rajab LD</w:t>
      </w:r>
      <w:r w:rsidR="00C97DE8" w:rsidRPr="000B45AA">
        <w:t xml:space="preserve"> et al carried study and found that males are affected more than f</w:t>
      </w:r>
      <w:r w:rsidR="007040F2" w:rsidRPr="000B45AA">
        <w:t xml:space="preserve">emale </w:t>
      </w:r>
      <w:r w:rsidR="00C97DE8" w:rsidRPr="000B45AA">
        <w:t>w</w:t>
      </w:r>
      <w:r w:rsidR="00483FD4" w:rsidRPr="000B45AA">
        <w:t>ith a sex ratio of</w:t>
      </w:r>
      <w:r w:rsidR="007040F2" w:rsidRPr="000B45AA">
        <w:t xml:space="preserve"> 2:1</w:t>
      </w:r>
      <w:r w:rsidR="00CC14FF" w:rsidRPr="000B45AA">
        <w:t>.</w:t>
      </w:r>
      <w:r w:rsidR="00483FD4" w:rsidRPr="000B45AA">
        <w:t>1</w:t>
      </w:r>
      <w:r w:rsidR="00CC14FF" w:rsidRPr="000B45AA">
        <w:t>[</w:t>
      </w:r>
      <w:r w:rsidRPr="000B45AA">
        <w:t>13</w:t>
      </w:r>
      <w:r w:rsidR="00CC14FF" w:rsidRPr="000B45AA">
        <w:t>]</w:t>
      </w:r>
      <w:r w:rsidR="0044775C" w:rsidRPr="000B45AA">
        <w:t>.</w:t>
      </w:r>
      <w:r w:rsidR="00F010DB" w:rsidRPr="000B45AA">
        <w:t xml:space="preserve"> </w:t>
      </w:r>
      <w:r w:rsidR="00D61A14" w:rsidRPr="000B45AA">
        <w:t>The present</w:t>
      </w:r>
      <w:r w:rsidR="00F010DB" w:rsidRPr="000B45AA">
        <w:t xml:space="preserve"> meta-</w:t>
      </w:r>
      <w:r w:rsidR="007040F2" w:rsidRPr="000B45AA">
        <w:t>analysis showed similar results.</w:t>
      </w:r>
    </w:p>
    <w:p w:rsidR="007040F2" w:rsidRPr="000B45AA" w:rsidRDefault="007040F2" w:rsidP="00C62542">
      <w:pPr>
        <w:spacing w:line="480" w:lineRule="auto"/>
        <w:jc w:val="both"/>
      </w:pPr>
      <w:r w:rsidRPr="000B45AA">
        <w:t xml:space="preserve">Ratio of </w:t>
      </w:r>
      <w:r w:rsidR="00FE40BF" w:rsidRPr="000B45AA">
        <w:t>supernumerary teeth</w:t>
      </w:r>
      <w:r w:rsidRPr="000B45AA">
        <w:t xml:space="preserve"> frequency in mandible was </w:t>
      </w:r>
      <w:r w:rsidR="00D61A14" w:rsidRPr="000B45AA">
        <w:t xml:space="preserve">found to be more as compare to </w:t>
      </w:r>
      <w:r w:rsidRPr="000B45AA">
        <w:t>maxilla. The ratio va</w:t>
      </w:r>
      <w:r w:rsidR="00FE40BF" w:rsidRPr="000B45AA">
        <w:t>ries widely from 11.1% to 1%</w:t>
      </w:r>
      <w:r w:rsidR="00CC14FF" w:rsidRPr="000B45AA">
        <w:t>.</w:t>
      </w:r>
      <w:r w:rsidR="00FE40BF" w:rsidRPr="000B45AA">
        <w:t xml:space="preserve"> </w:t>
      </w:r>
      <w:r w:rsidR="00CC14FF" w:rsidRPr="000B45AA">
        <w:t>[</w:t>
      </w:r>
      <w:r w:rsidR="00FE40BF" w:rsidRPr="000B45AA">
        <w:t>61</w:t>
      </w:r>
      <w:proofErr w:type="gramStart"/>
      <w:r w:rsidR="00FE40BF" w:rsidRPr="000B45AA">
        <w:t>,62</w:t>
      </w:r>
      <w:proofErr w:type="gramEnd"/>
      <w:r w:rsidR="00CC14FF" w:rsidRPr="000B45AA">
        <w:t>]</w:t>
      </w:r>
      <w:r w:rsidR="00FE40BF" w:rsidRPr="000B45AA">
        <w:t xml:space="preserve"> Yusuf</w:t>
      </w:r>
      <w:r w:rsidR="00CC14FF" w:rsidRPr="000B45AA">
        <w:t>[</w:t>
      </w:r>
      <w:r w:rsidR="00FE40BF" w:rsidRPr="000B45AA">
        <w:t>59</w:t>
      </w:r>
      <w:r w:rsidR="00CC14FF" w:rsidRPr="000B45AA">
        <w:t>]</w:t>
      </w:r>
      <w:r w:rsidR="00FE40BF" w:rsidRPr="000B45AA">
        <w:t xml:space="preserve"> found that supernumerary teeth</w:t>
      </w:r>
      <w:r w:rsidRPr="000B45AA">
        <w:t xml:space="preserve"> were more fre</w:t>
      </w:r>
      <w:r w:rsidR="00FE40BF" w:rsidRPr="000B45AA">
        <w:t xml:space="preserve">quent in mandible and </w:t>
      </w:r>
      <w:proofErr w:type="spellStart"/>
      <w:r w:rsidR="00FE40BF" w:rsidRPr="000B45AA">
        <w:t>Ackigoz</w:t>
      </w:r>
      <w:proofErr w:type="spellEnd"/>
      <w:r w:rsidR="00CC14FF" w:rsidRPr="000B45AA">
        <w:t>[</w:t>
      </w:r>
      <w:r w:rsidR="00FE40BF" w:rsidRPr="000B45AA">
        <w:t>21</w:t>
      </w:r>
      <w:r w:rsidR="00CC14FF" w:rsidRPr="000B45AA">
        <w:t>]</w:t>
      </w:r>
      <w:r w:rsidRPr="000B45AA">
        <w:t xml:space="preserve"> showed 56.8% in mandible. These results are seconded by us in our meta-analysis as well.</w:t>
      </w:r>
      <w:r w:rsidR="00C62542" w:rsidRPr="000B45AA">
        <w:t xml:space="preserve"> Whereas</w:t>
      </w:r>
      <w:r w:rsidR="00FE40BF" w:rsidRPr="000B45AA">
        <w:t xml:space="preserve"> </w:t>
      </w:r>
      <w:proofErr w:type="spellStart"/>
      <w:proofErr w:type="gramStart"/>
      <w:r w:rsidR="00FE40BF" w:rsidRPr="000B45AA">
        <w:t>Nazif</w:t>
      </w:r>
      <w:proofErr w:type="spellEnd"/>
      <w:r w:rsidR="00CC14FF" w:rsidRPr="000B45AA">
        <w:t>[</w:t>
      </w:r>
      <w:proofErr w:type="gramEnd"/>
      <w:r w:rsidR="00FE40BF" w:rsidRPr="000B45AA">
        <w:t>22</w:t>
      </w:r>
      <w:r w:rsidR="00CC14FF" w:rsidRPr="000B45AA">
        <w:t>]</w:t>
      </w:r>
      <w:r w:rsidR="00C822E3" w:rsidRPr="000B45AA">
        <w:rPr>
          <w:vertAlign w:val="superscript"/>
        </w:rPr>
        <w:t xml:space="preserve"> </w:t>
      </w:r>
      <w:r w:rsidRPr="000B45AA">
        <w:t xml:space="preserve">showed 14% but all in maxillary region. Many authors proposed </w:t>
      </w:r>
      <w:r w:rsidR="00EE683F" w:rsidRPr="000B45AA">
        <w:t>the main location of multiple supernumerary teeth</w:t>
      </w:r>
      <w:r w:rsidRPr="000B45AA">
        <w:t xml:space="preserve"> is upper anterior region followe</w:t>
      </w:r>
      <w:r w:rsidR="00FE40BF" w:rsidRPr="000B45AA">
        <w:t>d by molar zone</w:t>
      </w:r>
      <w:proofErr w:type="gramStart"/>
      <w:r w:rsidR="00CC14FF" w:rsidRPr="000B45AA">
        <w:t>.[</w:t>
      </w:r>
      <w:proofErr w:type="gramEnd"/>
      <w:r w:rsidR="00FE40BF" w:rsidRPr="000B45AA">
        <w:t>46,50</w:t>
      </w:r>
      <w:r w:rsidR="00CC14FF" w:rsidRPr="000B45AA">
        <w:t>]</w:t>
      </w:r>
      <w:r w:rsidRPr="000B45AA">
        <w:t xml:space="preserve"> Yusuf</w:t>
      </w:r>
      <w:r w:rsidR="00CC14FF" w:rsidRPr="000B45AA">
        <w:t>[13]</w:t>
      </w:r>
      <w:r w:rsidRPr="000B45AA">
        <w:t xml:space="preserve"> stated that the most </w:t>
      </w:r>
      <w:r w:rsidR="00FE40BF" w:rsidRPr="000B45AA">
        <w:t xml:space="preserve">common location for multiple supernumerary </w:t>
      </w:r>
      <w:r w:rsidR="00C62542" w:rsidRPr="000B45AA">
        <w:t xml:space="preserve">teeth </w:t>
      </w:r>
      <w:r w:rsidRPr="000B45AA">
        <w:t xml:space="preserve"> was the bicuspid area</w:t>
      </w:r>
      <w:r w:rsidR="00C62542" w:rsidRPr="000B45AA">
        <w:t xml:space="preserve"> </w:t>
      </w:r>
      <w:r w:rsidRPr="000B45AA">
        <w:t xml:space="preserve">(62.1%). </w:t>
      </w:r>
      <w:r w:rsidR="00C62542" w:rsidRPr="000B45AA">
        <w:t xml:space="preserve">The </w:t>
      </w:r>
      <w:proofErr w:type="gramStart"/>
      <w:r w:rsidR="00C62542" w:rsidRPr="000B45AA">
        <w:t xml:space="preserve">present </w:t>
      </w:r>
      <w:r w:rsidRPr="000B45AA">
        <w:t xml:space="preserve"> analysis</w:t>
      </w:r>
      <w:proofErr w:type="gramEnd"/>
      <w:r w:rsidRPr="000B45AA">
        <w:t xml:space="preserve"> also </w:t>
      </w:r>
      <w:r w:rsidR="00C62542" w:rsidRPr="000B45AA">
        <w:t>showed similar</w:t>
      </w:r>
      <w:r w:rsidRPr="000B45AA">
        <w:t xml:space="preserve"> p</w:t>
      </w:r>
      <w:r w:rsidR="00CC14FF" w:rsidRPr="000B45AA">
        <w:t xml:space="preserve">revalence pattern </w:t>
      </w:r>
      <w:r w:rsidR="00C62542" w:rsidRPr="000B45AA">
        <w:t>showing prem</w:t>
      </w:r>
      <w:r w:rsidR="00CC14FF" w:rsidRPr="000B45AA">
        <w:t xml:space="preserve">olars </w:t>
      </w:r>
      <w:r w:rsidRPr="000B45AA">
        <w:t xml:space="preserve">followed by anterior region, molars, </w:t>
      </w:r>
      <w:proofErr w:type="spellStart"/>
      <w:r w:rsidRPr="000B45AA">
        <w:t>distomolars</w:t>
      </w:r>
      <w:proofErr w:type="spellEnd"/>
      <w:r w:rsidRPr="000B45AA">
        <w:t xml:space="preserve"> and </w:t>
      </w:r>
      <w:proofErr w:type="spellStart"/>
      <w:r w:rsidRPr="000B45AA">
        <w:t>mesiodens</w:t>
      </w:r>
      <w:proofErr w:type="spellEnd"/>
      <w:r w:rsidRPr="000B45AA">
        <w:t>.</w:t>
      </w:r>
    </w:p>
    <w:p w:rsidR="00E94D15" w:rsidRPr="000B45AA" w:rsidRDefault="00FE40BF" w:rsidP="00C62542">
      <w:pPr>
        <w:spacing w:line="480" w:lineRule="auto"/>
        <w:jc w:val="both"/>
      </w:pPr>
      <w:proofErr w:type="spellStart"/>
      <w:proofErr w:type="gramStart"/>
      <w:r w:rsidRPr="000B45AA">
        <w:lastRenderedPageBreak/>
        <w:t>Acikgoz</w:t>
      </w:r>
      <w:proofErr w:type="spellEnd"/>
      <w:r w:rsidR="00CC14FF" w:rsidRPr="000B45AA">
        <w:t>[</w:t>
      </w:r>
      <w:proofErr w:type="gramEnd"/>
      <w:r w:rsidR="00D535CE" w:rsidRPr="000B45AA">
        <w:t>21</w:t>
      </w:r>
      <w:r w:rsidR="00CC14FF" w:rsidRPr="000B45AA">
        <w:t>]</w:t>
      </w:r>
      <w:r w:rsidR="00D535CE" w:rsidRPr="000B45AA">
        <w:t xml:space="preserve"> </w:t>
      </w:r>
      <w:r w:rsidR="007040F2" w:rsidRPr="000B45AA">
        <w:t xml:space="preserve">noted another interesting feature  of the condition, as bilateralism of </w:t>
      </w:r>
      <w:r w:rsidR="00C62542" w:rsidRPr="000B45AA">
        <w:t xml:space="preserve">non </w:t>
      </w:r>
      <w:proofErr w:type="spellStart"/>
      <w:r w:rsidR="00C62542" w:rsidRPr="000B45AA">
        <w:t>syndromic</w:t>
      </w:r>
      <w:proofErr w:type="spellEnd"/>
      <w:r w:rsidR="00C62542" w:rsidRPr="000B45AA">
        <w:t xml:space="preserve"> </w:t>
      </w:r>
      <w:r w:rsidR="00C822E3" w:rsidRPr="000B45AA">
        <w:t>supernumerary teet</w:t>
      </w:r>
      <w:r w:rsidR="00D33C86" w:rsidRPr="000B45AA">
        <w:t>h</w:t>
      </w:r>
      <w:r w:rsidR="00203570" w:rsidRPr="000B45AA">
        <w:t xml:space="preserve"> which is also seen in present case</w:t>
      </w:r>
      <w:r w:rsidR="007040F2" w:rsidRPr="000B45AA">
        <w:t>.</w:t>
      </w:r>
      <w:r w:rsidR="00203570" w:rsidRPr="000B45AA">
        <w:t xml:space="preserve"> </w:t>
      </w:r>
    </w:p>
    <w:p w:rsidR="00E94D15" w:rsidRPr="000B45AA" w:rsidRDefault="00D75EF0" w:rsidP="00D75EF0">
      <w:pPr>
        <w:rPr>
          <w:b/>
        </w:rPr>
      </w:pPr>
      <w:r w:rsidRPr="000B45AA">
        <w:t>C</w:t>
      </w:r>
      <w:r w:rsidRPr="000B45AA">
        <w:rPr>
          <w:b/>
        </w:rPr>
        <w:t>onclusion</w:t>
      </w:r>
    </w:p>
    <w:p w:rsidR="00E94D15" w:rsidRPr="000B45AA" w:rsidRDefault="00E94D15" w:rsidP="00D75EF0">
      <w:pPr>
        <w:spacing w:line="480" w:lineRule="auto"/>
        <w:ind w:left="360"/>
        <w:jc w:val="both"/>
      </w:pPr>
      <w:r w:rsidRPr="000B45AA">
        <w:rPr>
          <w:shd w:val="clear" w:color="auto" w:fill="FFFFFF"/>
        </w:rPr>
        <w:t>Supernumerary teeth can be discovered at any age.</w:t>
      </w:r>
      <w:r w:rsidR="00D75EF0" w:rsidRPr="000B45AA">
        <w:t xml:space="preserve"> </w:t>
      </w:r>
      <w:proofErr w:type="spellStart"/>
      <w:r w:rsidRPr="000B45AA">
        <w:rPr>
          <w:shd w:val="clear" w:color="auto" w:fill="FFFFFF"/>
        </w:rPr>
        <w:t>Mandibular</w:t>
      </w:r>
      <w:proofErr w:type="spellEnd"/>
      <w:r w:rsidRPr="000B45AA">
        <w:rPr>
          <w:shd w:val="clear" w:color="auto" w:fill="FFFFFF"/>
        </w:rPr>
        <w:t xml:space="preserve"> region is the most prevalent area for supernumerary teeth.</w:t>
      </w:r>
      <w:r w:rsidR="00D75EF0" w:rsidRPr="000B45AA">
        <w:t xml:space="preserve"> </w:t>
      </w:r>
      <w:r w:rsidRPr="000B45AA">
        <w:rPr>
          <w:shd w:val="clear" w:color="auto" w:fill="FFFFFF"/>
        </w:rPr>
        <w:t>Regular follow-ups, with OPGs should be done even in the cases where supernumerary teeth have been removed, to eliminate the case of hyperactive dental lamina, which may cause more teeth to develop in the jaw.</w:t>
      </w:r>
    </w:p>
    <w:p w:rsidR="0090706B" w:rsidRPr="000B45AA" w:rsidRDefault="0090706B" w:rsidP="007E6823">
      <w:pPr>
        <w:spacing w:line="480" w:lineRule="auto"/>
        <w:rPr>
          <w:b/>
          <w:bCs/>
        </w:rPr>
      </w:pPr>
      <w:r w:rsidRPr="000B45AA">
        <w:rPr>
          <w:b/>
        </w:rPr>
        <w:t>References:</w:t>
      </w:r>
      <w:r w:rsidR="002C1816" w:rsidRPr="000B45AA">
        <w:rPr>
          <w:b/>
        </w:rPr>
        <w:tab/>
      </w:r>
    </w:p>
    <w:p w:rsidR="007040F2" w:rsidRPr="000B45AA" w:rsidRDefault="007040F2" w:rsidP="007E6823">
      <w:pPr>
        <w:numPr>
          <w:ilvl w:val="0"/>
          <w:numId w:val="9"/>
        </w:numPr>
        <w:spacing w:line="480" w:lineRule="auto"/>
        <w:jc w:val="both"/>
        <w:rPr>
          <w:bCs/>
          <w:lang w:val="en-US"/>
        </w:rPr>
      </w:pPr>
      <w:r w:rsidRPr="000B45AA">
        <w:rPr>
          <w:bCs/>
          <w:lang w:val="en-US"/>
        </w:rPr>
        <w:t xml:space="preserve">Schulze C. Developmental abnormalities of the teeth and jaws. In: </w:t>
      </w:r>
      <w:proofErr w:type="spellStart"/>
      <w:r w:rsidRPr="000B45AA">
        <w:rPr>
          <w:bCs/>
          <w:lang w:val="en-US"/>
        </w:rPr>
        <w:t>Gorlin</w:t>
      </w:r>
      <w:proofErr w:type="spellEnd"/>
      <w:r w:rsidRPr="000B45AA">
        <w:rPr>
          <w:bCs/>
          <w:lang w:val="en-US"/>
        </w:rPr>
        <w:t xml:space="preserve"> RJ, Goldman HM, eds. </w:t>
      </w:r>
      <w:proofErr w:type="spellStart"/>
      <w:r w:rsidRPr="000B45AA">
        <w:rPr>
          <w:bCs/>
          <w:lang w:val="en-US"/>
        </w:rPr>
        <w:t>Thoma’s</w:t>
      </w:r>
      <w:proofErr w:type="spellEnd"/>
      <w:r w:rsidRPr="000B45AA">
        <w:rPr>
          <w:bCs/>
          <w:lang w:val="en-US"/>
        </w:rPr>
        <w:t xml:space="preserve"> Oral Pathology (6th </w:t>
      </w:r>
      <w:proofErr w:type="spellStart"/>
      <w:proofErr w:type="gramStart"/>
      <w:r w:rsidRPr="000B45AA">
        <w:rPr>
          <w:bCs/>
          <w:lang w:val="en-US"/>
        </w:rPr>
        <w:t>ed</w:t>
      </w:r>
      <w:proofErr w:type="spellEnd"/>
      <w:proofErr w:type="gramEnd"/>
      <w:r w:rsidRPr="000B45AA">
        <w:rPr>
          <w:bCs/>
          <w:lang w:val="en-US"/>
        </w:rPr>
        <w:t>). St Louis, Mo: CV Mosby 1970:1</w:t>
      </w:r>
      <w:proofErr w:type="gramStart"/>
      <w:r w:rsidRPr="000B45AA">
        <w:rPr>
          <w:bCs/>
          <w:lang w:val="en-US"/>
        </w:rPr>
        <w:t>;112</w:t>
      </w:r>
      <w:proofErr w:type="gramEnd"/>
      <w:r w:rsidRPr="000B45AA">
        <w:rPr>
          <w:bCs/>
          <w:lang w:val="en-US"/>
        </w:rPr>
        <w:t>-22.</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Solares</w:t>
      </w:r>
      <w:proofErr w:type="spellEnd"/>
      <w:r w:rsidRPr="000B45AA">
        <w:rPr>
          <w:bCs/>
          <w:lang w:val="en-US"/>
        </w:rPr>
        <w:t xml:space="preserve"> R, Romero MI. Supernumerary premolars: a literature review. </w:t>
      </w:r>
      <w:proofErr w:type="spellStart"/>
      <w:r w:rsidRPr="000B45AA">
        <w:rPr>
          <w:bCs/>
          <w:lang w:val="en-US"/>
        </w:rPr>
        <w:t>Pediatr</w:t>
      </w:r>
      <w:proofErr w:type="spellEnd"/>
      <w:r w:rsidRPr="000B45AA">
        <w:rPr>
          <w:bCs/>
          <w:lang w:val="en-US"/>
        </w:rPr>
        <w:t xml:space="preserve"> Dent. 2004</w:t>
      </w:r>
      <w:proofErr w:type="gramStart"/>
      <w:r w:rsidRPr="000B45AA">
        <w:rPr>
          <w:bCs/>
          <w:lang w:val="en-US"/>
        </w:rPr>
        <w:t>;26:450</w:t>
      </w:r>
      <w:proofErr w:type="gramEnd"/>
      <w:r w:rsidRPr="000B45AA">
        <w:rPr>
          <w:bCs/>
          <w:lang w:val="en-US"/>
        </w:rPr>
        <w:t>-8.</w:t>
      </w:r>
    </w:p>
    <w:p w:rsidR="007040F2" w:rsidRPr="000B45AA" w:rsidRDefault="007040F2" w:rsidP="007E6823">
      <w:pPr>
        <w:numPr>
          <w:ilvl w:val="0"/>
          <w:numId w:val="9"/>
        </w:numPr>
        <w:spacing w:line="480" w:lineRule="auto"/>
        <w:jc w:val="both"/>
        <w:rPr>
          <w:bCs/>
          <w:lang w:val="en-US"/>
        </w:rPr>
      </w:pPr>
      <w:r w:rsidRPr="000B45AA">
        <w:rPr>
          <w:bCs/>
          <w:lang w:val="en-US"/>
        </w:rPr>
        <w:t xml:space="preserve">Moore SR, Wilson DF, Kibble J. Sequential development of multiple supernumerary teeth in the </w:t>
      </w:r>
      <w:proofErr w:type="spellStart"/>
      <w:r w:rsidRPr="000B45AA">
        <w:rPr>
          <w:bCs/>
          <w:lang w:val="en-US"/>
        </w:rPr>
        <w:t>mandibular</w:t>
      </w:r>
      <w:proofErr w:type="spellEnd"/>
      <w:r w:rsidRPr="000B45AA">
        <w:rPr>
          <w:bCs/>
          <w:lang w:val="en-US"/>
        </w:rPr>
        <w:t xml:space="preserve"> premolar region -- a radiographic case report. </w:t>
      </w:r>
      <w:proofErr w:type="spellStart"/>
      <w:r w:rsidRPr="000B45AA">
        <w:rPr>
          <w:bCs/>
          <w:lang w:val="en-US"/>
        </w:rPr>
        <w:t>Int</w:t>
      </w:r>
      <w:proofErr w:type="spellEnd"/>
      <w:r w:rsidRPr="000B45AA">
        <w:rPr>
          <w:bCs/>
          <w:lang w:val="en-US"/>
        </w:rPr>
        <w:t xml:space="preserve"> J </w:t>
      </w:r>
      <w:proofErr w:type="spellStart"/>
      <w:r w:rsidRPr="000B45AA">
        <w:rPr>
          <w:bCs/>
          <w:lang w:val="en-US"/>
        </w:rPr>
        <w:t>Paediatr</w:t>
      </w:r>
      <w:proofErr w:type="spellEnd"/>
      <w:r w:rsidRPr="000B45AA">
        <w:rPr>
          <w:bCs/>
          <w:lang w:val="en-US"/>
        </w:rPr>
        <w:t xml:space="preserve"> Dent. 2002</w:t>
      </w:r>
      <w:proofErr w:type="gramStart"/>
      <w:r w:rsidRPr="000B45AA">
        <w:rPr>
          <w:bCs/>
          <w:lang w:val="en-US"/>
        </w:rPr>
        <w:t>;12:143</w:t>
      </w:r>
      <w:proofErr w:type="gramEnd"/>
      <w:r w:rsidRPr="000B45AA">
        <w:rPr>
          <w:bCs/>
          <w:lang w:val="en-US"/>
        </w:rPr>
        <w:t>-5.</w:t>
      </w:r>
    </w:p>
    <w:p w:rsidR="007040F2" w:rsidRPr="000B45AA" w:rsidRDefault="007040F2" w:rsidP="007E6823">
      <w:pPr>
        <w:numPr>
          <w:ilvl w:val="0"/>
          <w:numId w:val="9"/>
        </w:numPr>
        <w:spacing w:line="480" w:lineRule="auto"/>
        <w:jc w:val="both"/>
        <w:rPr>
          <w:bCs/>
          <w:lang w:val="en-US"/>
        </w:rPr>
      </w:pPr>
      <w:r w:rsidRPr="000B45AA">
        <w:rPr>
          <w:bCs/>
          <w:lang w:val="en-US"/>
        </w:rPr>
        <w:t xml:space="preserve">Sasaki H, </w:t>
      </w:r>
      <w:proofErr w:type="spellStart"/>
      <w:r w:rsidRPr="000B45AA">
        <w:rPr>
          <w:bCs/>
          <w:lang w:val="en-US"/>
        </w:rPr>
        <w:t>Funao</w:t>
      </w:r>
      <w:proofErr w:type="spellEnd"/>
      <w:r w:rsidRPr="000B45AA">
        <w:rPr>
          <w:bCs/>
          <w:lang w:val="en-US"/>
        </w:rPr>
        <w:t xml:space="preserve"> J, Morinaga H, Nakano K, </w:t>
      </w:r>
      <w:proofErr w:type="spellStart"/>
      <w:r w:rsidRPr="000B45AA">
        <w:rPr>
          <w:bCs/>
          <w:lang w:val="en-US"/>
        </w:rPr>
        <w:t>Ooshima</w:t>
      </w:r>
      <w:proofErr w:type="spellEnd"/>
      <w:r w:rsidRPr="000B45AA">
        <w:rPr>
          <w:bCs/>
          <w:lang w:val="en-US"/>
        </w:rPr>
        <w:t xml:space="preserve"> T. Multiple supernumerary teeth in the maxillary canine and </w:t>
      </w:r>
      <w:proofErr w:type="spellStart"/>
      <w:r w:rsidRPr="000B45AA">
        <w:rPr>
          <w:bCs/>
          <w:lang w:val="en-US"/>
        </w:rPr>
        <w:t>mandibular</w:t>
      </w:r>
      <w:proofErr w:type="spellEnd"/>
      <w:r w:rsidRPr="000B45AA">
        <w:rPr>
          <w:bCs/>
          <w:lang w:val="en-US"/>
        </w:rPr>
        <w:t xml:space="preserve"> premolar regions: a case in the </w:t>
      </w:r>
      <w:proofErr w:type="spellStart"/>
      <w:r w:rsidRPr="000B45AA">
        <w:rPr>
          <w:bCs/>
          <w:lang w:val="en-US"/>
        </w:rPr>
        <w:t>postpermanent</w:t>
      </w:r>
      <w:proofErr w:type="spellEnd"/>
      <w:r w:rsidRPr="000B45AA">
        <w:rPr>
          <w:bCs/>
          <w:lang w:val="en-US"/>
        </w:rPr>
        <w:t xml:space="preserve"> </w:t>
      </w:r>
      <w:proofErr w:type="spellStart"/>
      <w:r w:rsidRPr="000B45AA">
        <w:rPr>
          <w:bCs/>
          <w:lang w:val="en-US"/>
        </w:rPr>
        <w:t>dentition.Int</w:t>
      </w:r>
      <w:proofErr w:type="spellEnd"/>
      <w:r w:rsidRPr="000B45AA">
        <w:rPr>
          <w:bCs/>
          <w:lang w:val="en-US"/>
        </w:rPr>
        <w:t xml:space="preserve"> J </w:t>
      </w:r>
      <w:proofErr w:type="spellStart"/>
      <w:r w:rsidRPr="000B45AA">
        <w:rPr>
          <w:bCs/>
          <w:lang w:val="en-US"/>
        </w:rPr>
        <w:t>Paediatr</w:t>
      </w:r>
      <w:proofErr w:type="spellEnd"/>
      <w:r w:rsidRPr="000B45AA">
        <w:rPr>
          <w:bCs/>
          <w:lang w:val="en-US"/>
        </w:rPr>
        <w:t xml:space="preserve"> Dent. 2007</w:t>
      </w:r>
      <w:proofErr w:type="gramStart"/>
      <w:r w:rsidRPr="000B45AA">
        <w:rPr>
          <w:bCs/>
          <w:lang w:val="en-US"/>
        </w:rPr>
        <w:t>;17:304</w:t>
      </w:r>
      <w:proofErr w:type="gramEnd"/>
      <w:r w:rsidRPr="000B45AA">
        <w:rPr>
          <w:bCs/>
          <w:lang w:val="en-US"/>
        </w:rPr>
        <w:t>-8.</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Gündüz</w:t>
      </w:r>
      <w:proofErr w:type="spellEnd"/>
      <w:r w:rsidRPr="000B45AA">
        <w:rPr>
          <w:bCs/>
          <w:lang w:val="en-US"/>
        </w:rPr>
        <w:t xml:space="preserve"> K, </w:t>
      </w:r>
      <w:proofErr w:type="spellStart"/>
      <w:r w:rsidRPr="000B45AA">
        <w:rPr>
          <w:bCs/>
          <w:lang w:val="en-US"/>
        </w:rPr>
        <w:t>Muğlali</w:t>
      </w:r>
      <w:proofErr w:type="spellEnd"/>
      <w:r w:rsidRPr="000B45AA">
        <w:rPr>
          <w:bCs/>
          <w:lang w:val="en-US"/>
        </w:rPr>
        <w:t xml:space="preserve"> M. Non-syndrome multiple supernumerary teeth: A report. J </w:t>
      </w:r>
      <w:proofErr w:type="spellStart"/>
      <w:r w:rsidRPr="000B45AA">
        <w:rPr>
          <w:bCs/>
          <w:lang w:val="en-US"/>
        </w:rPr>
        <w:t>Contemp</w:t>
      </w:r>
      <w:proofErr w:type="spellEnd"/>
      <w:r w:rsidRPr="000B45AA">
        <w:rPr>
          <w:bCs/>
          <w:lang w:val="en-US"/>
        </w:rPr>
        <w:t xml:space="preserve"> Dent </w:t>
      </w:r>
      <w:proofErr w:type="spellStart"/>
      <w:r w:rsidRPr="000B45AA">
        <w:rPr>
          <w:bCs/>
          <w:lang w:val="en-US"/>
        </w:rPr>
        <w:t>Pract</w:t>
      </w:r>
      <w:proofErr w:type="spellEnd"/>
      <w:r w:rsidRPr="000B45AA">
        <w:rPr>
          <w:bCs/>
          <w:lang w:val="en-US"/>
        </w:rPr>
        <w:t>. 2007</w:t>
      </w:r>
      <w:proofErr w:type="gramStart"/>
      <w:r w:rsidRPr="000B45AA">
        <w:rPr>
          <w:bCs/>
          <w:lang w:val="en-US"/>
        </w:rPr>
        <w:t>;8:81</w:t>
      </w:r>
      <w:proofErr w:type="gramEnd"/>
      <w:r w:rsidRPr="000B45AA">
        <w:rPr>
          <w:bCs/>
          <w:lang w:val="en-US"/>
        </w:rPr>
        <w:t>-7.</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Yagüe-García</w:t>
      </w:r>
      <w:proofErr w:type="spellEnd"/>
      <w:r w:rsidRPr="000B45AA">
        <w:rPr>
          <w:bCs/>
          <w:lang w:val="en-US"/>
        </w:rPr>
        <w:t xml:space="preserve"> J, </w:t>
      </w:r>
      <w:proofErr w:type="spellStart"/>
      <w:r w:rsidRPr="000B45AA">
        <w:rPr>
          <w:bCs/>
          <w:lang w:val="en-US"/>
        </w:rPr>
        <w:t>Berini-Aytés</w:t>
      </w:r>
      <w:proofErr w:type="spellEnd"/>
      <w:r w:rsidRPr="000B45AA">
        <w:rPr>
          <w:bCs/>
          <w:lang w:val="en-US"/>
        </w:rPr>
        <w:t xml:space="preserve"> L, Gay-</w:t>
      </w:r>
      <w:proofErr w:type="spellStart"/>
      <w:r w:rsidRPr="000B45AA">
        <w:rPr>
          <w:bCs/>
          <w:lang w:val="en-US"/>
        </w:rPr>
        <w:t>Escoda</w:t>
      </w:r>
      <w:proofErr w:type="spellEnd"/>
      <w:r w:rsidRPr="000B45AA">
        <w:rPr>
          <w:bCs/>
          <w:lang w:val="en-US"/>
        </w:rPr>
        <w:t xml:space="preserve"> C. Multiple supernumerary teeth not associated with complex syndromes: a retrospective study. Med Oral </w:t>
      </w:r>
      <w:proofErr w:type="spellStart"/>
      <w:r w:rsidRPr="000B45AA">
        <w:rPr>
          <w:bCs/>
          <w:lang w:val="en-US"/>
        </w:rPr>
        <w:t>Patol</w:t>
      </w:r>
      <w:proofErr w:type="spellEnd"/>
      <w:r w:rsidRPr="000B45AA">
        <w:rPr>
          <w:bCs/>
          <w:lang w:val="en-US"/>
        </w:rPr>
        <w:t xml:space="preserve"> Oral Cir Bucal.2009</w:t>
      </w:r>
      <w:proofErr w:type="gramStart"/>
      <w:r w:rsidRPr="000B45AA">
        <w:rPr>
          <w:bCs/>
          <w:lang w:val="en-US"/>
        </w:rPr>
        <w:t>;14:E331</w:t>
      </w:r>
      <w:proofErr w:type="gramEnd"/>
      <w:r w:rsidRPr="000B45AA">
        <w:rPr>
          <w:bCs/>
          <w:lang w:val="en-US"/>
        </w:rPr>
        <w:t>-6.</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Ferrés-Padró</w:t>
      </w:r>
      <w:proofErr w:type="spellEnd"/>
      <w:r w:rsidRPr="000B45AA">
        <w:rPr>
          <w:bCs/>
          <w:lang w:val="en-US"/>
        </w:rPr>
        <w:t xml:space="preserve"> E, </w:t>
      </w:r>
      <w:proofErr w:type="spellStart"/>
      <w:r w:rsidRPr="000B45AA">
        <w:rPr>
          <w:bCs/>
          <w:lang w:val="en-US"/>
        </w:rPr>
        <w:t>Prats-Armengol</w:t>
      </w:r>
      <w:proofErr w:type="spellEnd"/>
      <w:r w:rsidRPr="000B45AA">
        <w:rPr>
          <w:bCs/>
          <w:lang w:val="en-US"/>
        </w:rPr>
        <w:t xml:space="preserve"> J, </w:t>
      </w:r>
      <w:proofErr w:type="spellStart"/>
      <w:r w:rsidRPr="000B45AA">
        <w:rPr>
          <w:bCs/>
          <w:lang w:val="en-US"/>
        </w:rPr>
        <w:t>Ferrés-Amat</w:t>
      </w:r>
      <w:proofErr w:type="spellEnd"/>
      <w:r w:rsidRPr="000B45AA">
        <w:rPr>
          <w:bCs/>
          <w:lang w:val="en-US"/>
        </w:rPr>
        <w:t xml:space="preserve"> E. A descriptive study of 113 </w:t>
      </w:r>
      <w:proofErr w:type="spellStart"/>
      <w:r w:rsidRPr="000B45AA">
        <w:rPr>
          <w:bCs/>
          <w:lang w:val="en-US"/>
        </w:rPr>
        <w:t>unerupted</w:t>
      </w:r>
      <w:proofErr w:type="spellEnd"/>
      <w:r w:rsidRPr="000B45AA">
        <w:rPr>
          <w:bCs/>
          <w:lang w:val="en-US"/>
        </w:rPr>
        <w:t xml:space="preserve"> supernumerary teeth in 79 pediatric patients in Barcelona. Med Oral </w:t>
      </w:r>
      <w:proofErr w:type="spellStart"/>
      <w:r w:rsidRPr="000B45AA">
        <w:rPr>
          <w:bCs/>
          <w:lang w:val="en-US"/>
        </w:rPr>
        <w:t>Patol</w:t>
      </w:r>
      <w:proofErr w:type="spellEnd"/>
      <w:r w:rsidRPr="000B45AA">
        <w:rPr>
          <w:bCs/>
          <w:lang w:val="en-US"/>
        </w:rPr>
        <w:t xml:space="preserve"> Oral Cir Bucal.2009</w:t>
      </w:r>
      <w:proofErr w:type="gramStart"/>
      <w:r w:rsidRPr="000B45AA">
        <w:rPr>
          <w:bCs/>
          <w:lang w:val="en-US"/>
        </w:rPr>
        <w:t>;14:E146</w:t>
      </w:r>
      <w:proofErr w:type="gramEnd"/>
      <w:r w:rsidRPr="000B45AA">
        <w:rPr>
          <w:bCs/>
          <w:lang w:val="en-US"/>
        </w:rPr>
        <w:t>-52.</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lastRenderedPageBreak/>
        <w:t>Díaz</w:t>
      </w:r>
      <w:proofErr w:type="spellEnd"/>
      <w:r w:rsidRPr="000B45AA">
        <w:rPr>
          <w:bCs/>
          <w:lang w:val="en-US"/>
        </w:rPr>
        <w:t xml:space="preserve"> A, Orozco J, Fonseca M. Multiple </w:t>
      </w:r>
      <w:proofErr w:type="spellStart"/>
      <w:r w:rsidRPr="000B45AA">
        <w:rPr>
          <w:bCs/>
          <w:lang w:val="en-US"/>
        </w:rPr>
        <w:t>hyperodontia</w:t>
      </w:r>
      <w:proofErr w:type="spellEnd"/>
      <w:r w:rsidRPr="000B45AA">
        <w:rPr>
          <w:bCs/>
          <w:lang w:val="en-US"/>
        </w:rPr>
        <w:t xml:space="preserve">: report of a case with 17 supernumerary teeth with non </w:t>
      </w:r>
      <w:proofErr w:type="spellStart"/>
      <w:r w:rsidRPr="000B45AA">
        <w:rPr>
          <w:bCs/>
          <w:lang w:val="en-US"/>
        </w:rPr>
        <w:t>syndromic</w:t>
      </w:r>
      <w:proofErr w:type="spellEnd"/>
      <w:r w:rsidRPr="000B45AA">
        <w:rPr>
          <w:bCs/>
          <w:lang w:val="en-US"/>
        </w:rPr>
        <w:t xml:space="preserve"> association. Med Oral </w:t>
      </w:r>
      <w:proofErr w:type="spellStart"/>
      <w:r w:rsidRPr="000B45AA">
        <w:rPr>
          <w:bCs/>
          <w:lang w:val="en-US"/>
        </w:rPr>
        <w:t>Patol</w:t>
      </w:r>
      <w:proofErr w:type="spellEnd"/>
      <w:r w:rsidRPr="000B45AA">
        <w:rPr>
          <w:bCs/>
          <w:lang w:val="en-US"/>
        </w:rPr>
        <w:t xml:space="preserve"> Oral Cir Bucal.2009</w:t>
      </w:r>
      <w:proofErr w:type="gramStart"/>
      <w:r w:rsidRPr="000B45AA">
        <w:rPr>
          <w:bCs/>
          <w:lang w:val="en-US"/>
        </w:rPr>
        <w:t>;14:E229</w:t>
      </w:r>
      <w:proofErr w:type="gramEnd"/>
      <w:r w:rsidRPr="000B45AA">
        <w:rPr>
          <w:bCs/>
          <w:lang w:val="en-US"/>
        </w:rPr>
        <w:t>-31.</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Scanlan</w:t>
      </w:r>
      <w:proofErr w:type="spellEnd"/>
      <w:r w:rsidRPr="000B45AA">
        <w:rPr>
          <w:bCs/>
          <w:lang w:val="en-US"/>
        </w:rPr>
        <w:t xml:space="preserve"> PJ, Hodges SJ. Supernumerary premolar teeth in siblings. Br J </w:t>
      </w:r>
      <w:proofErr w:type="spellStart"/>
      <w:r w:rsidRPr="000B45AA">
        <w:rPr>
          <w:bCs/>
          <w:lang w:val="en-US"/>
        </w:rPr>
        <w:t>Orthod</w:t>
      </w:r>
      <w:proofErr w:type="spellEnd"/>
      <w:r w:rsidRPr="000B45AA">
        <w:rPr>
          <w:bCs/>
          <w:lang w:val="en-US"/>
        </w:rPr>
        <w:t>. 1997</w:t>
      </w:r>
      <w:proofErr w:type="gramStart"/>
      <w:r w:rsidRPr="000B45AA">
        <w:rPr>
          <w:bCs/>
          <w:lang w:val="en-US"/>
        </w:rPr>
        <w:t>;24:297</w:t>
      </w:r>
      <w:proofErr w:type="gramEnd"/>
      <w:r w:rsidRPr="000B45AA">
        <w:rPr>
          <w:bCs/>
          <w:lang w:val="en-US"/>
        </w:rPr>
        <w:t>-300.</w:t>
      </w:r>
    </w:p>
    <w:p w:rsidR="007040F2" w:rsidRPr="000B45AA" w:rsidRDefault="007040F2" w:rsidP="007E6823">
      <w:pPr>
        <w:numPr>
          <w:ilvl w:val="0"/>
          <w:numId w:val="9"/>
        </w:numPr>
        <w:spacing w:line="480" w:lineRule="auto"/>
        <w:jc w:val="both"/>
        <w:rPr>
          <w:bCs/>
          <w:lang w:val="en-US"/>
        </w:rPr>
      </w:pPr>
      <w:r w:rsidRPr="000B45AA">
        <w:rPr>
          <w:bCs/>
          <w:lang w:val="en-US"/>
        </w:rPr>
        <w:t xml:space="preserve">Gardiner JH. Supernumerary teeth. Dent </w:t>
      </w:r>
      <w:proofErr w:type="spellStart"/>
      <w:r w:rsidRPr="000B45AA">
        <w:rPr>
          <w:bCs/>
          <w:lang w:val="en-US"/>
        </w:rPr>
        <w:t>Pract</w:t>
      </w:r>
      <w:proofErr w:type="spellEnd"/>
      <w:r w:rsidRPr="000B45AA">
        <w:rPr>
          <w:bCs/>
          <w:lang w:val="en-US"/>
        </w:rPr>
        <w:t>. 1961</w:t>
      </w:r>
      <w:proofErr w:type="gramStart"/>
      <w:r w:rsidRPr="000B45AA">
        <w:rPr>
          <w:bCs/>
          <w:lang w:val="en-US"/>
        </w:rPr>
        <w:t>;12:63</w:t>
      </w:r>
      <w:proofErr w:type="gramEnd"/>
      <w:r w:rsidRPr="000B45AA">
        <w:rPr>
          <w:bCs/>
          <w:lang w:val="en-US"/>
        </w:rPr>
        <w:t>-73.</w:t>
      </w:r>
    </w:p>
    <w:p w:rsidR="007040F2" w:rsidRPr="000B45AA" w:rsidRDefault="007040F2" w:rsidP="007E6823">
      <w:pPr>
        <w:numPr>
          <w:ilvl w:val="0"/>
          <w:numId w:val="9"/>
        </w:numPr>
        <w:spacing w:line="480" w:lineRule="auto"/>
        <w:jc w:val="both"/>
        <w:rPr>
          <w:bCs/>
          <w:lang w:val="en-US"/>
        </w:rPr>
      </w:pPr>
      <w:r w:rsidRPr="000B45AA">
        <w:rPr>
          <w:bCs/>
          <w:lang w:val="en-US"/>
        </w:rPr>
        <w:t xml:space="preserve">Hyun HK, Lee SJ, </w:t>
      </w:r>
      <w:proofErr w:type="spellStart"/>
      <w:r w:rsidRPr="000B45AA">
        <w:rPr>
          <w:bCs/>
          <w:lang w:val="en-US"/>
        </w:rPr>
        <w:t>Ahn</w:t>
      </w:r>
      <w:proofErr w:type="spellEnd"/>
      <w:r w:rsidRPr="000B45AA">
        <w:rPr>
          <w:bCs/>
          <w:lang w:val="en-US"/>
        </w:rPr>
        <w:t xml:space="preserve"> BD, Lee ZH, </w:t>
      </w:r>
      <w:proofErr w:type="spellStart"/>
      <w:r w:rsidRPr="000B45AA">
        <w:rPr>
          <w:bCs/>
          <w:lang w:val="en-US"/>
        </w:rPr>
        <w:t>Heo</w:t>
      </w:r>
      <w:proofErr w:type="spellEnd"/>
      <w:r w:rsidRPr="000B45AA">
        <w:rPr>
          <w:bCs/>
          <w:lang w:val="en-US"/>
        </w:rPr>
        <w:t xml:space="preserve"> MS, </w:t>
      </w:r>
      <w:proofErr w:type="spellStart"/>
      <w:r w:rsidRPr="000B45AA">
        <w:rPr>
          <w:bCs/>
          <w:lang w:val="en-US"/>
        </w:rPr>
        <w:t>Seo</w:t>
      </w:r>
      <w:proofErr w:type="spellEnd"/>
      <w:r w:rsidRPr="000B45AA">
        <w:rPr>
          <w:bCs/>
          <w:lang w:val="en-US"/>
        </w:rPr>
        <w:t xml:space="preserve"> BM, et al. </w:t>
      </w:r>
      <w:proofErr w:type="spellStart"/>
      <w:r w:rsidRPr="000B45AA">
        <w:rPr>
          <w:bCs/>
          <w:lang w:val="en-US"/>
        </w:rPr>
        <w:t>Nonsyndromic</w:t>
      </w:r>
      <w:proofErr w:type="spellEnd"/>
      <w:r w:rsidRPr="000B45AA">
        <w:rPr>
          <w:bCs/>
          <w:lang w:val="en-US"/>
        </w:rPr>
        <w:t xml:space="preserve"> multiple </w:t>
      </w:r>
      <w:proofErr w:type="spellStart"/>
      <w:r w:rsidRPr="000B45AA">
        <w:rPr>
          <w:bCs/>
          <w:lang w:val="en-US"/>
        </w:rPr>
        <w:t>mandibular</w:t>
      </w:r>
      <w:proofErr w:type="spellEnd"/>
      <w:r w:rsidRPr="000B45AA">
        <w:rPr>
          <w:bCs/>
          <w:lang w:val="en-US"/>
        </w:rPr>
        <w:t xml:space="preserve"> supernumerary premolars. J Oral </w:t>
      </w:r>
      <w:proofErr w:type="spellStart"/>
      <w:r w:rsidRPr="000B45AA">
        <w:rPr>
          <w:bCs/>
          <w:lang w:val="en-US"/>
        </w:rPr>
        <w:t>Maxillofac</w:t>
      </w:r>
      <w:proofErr w:type="spellEnd"/>
      <w:r w:rsidRPr="000B45AA">
        <w:rPr>
          <w:bCs/>
          <w:lang w:val="en-US"/>
        </w:rPr>
        <w:t xml:space="preserve"> </w:t>
      </w:r>
      <w:proofErr w:type="spellStart"/>
      <w:r w:rsidRPr="000B45AA">
        <w:rPr>
          <w:bCs/>
          <w:lang w:val="en-US"/>
        </w:rPr>
        <w:t>Surg</w:t>
      </w:r>
      <w:proofErr w:type="spellEnd"/>
      <w:r w:rsidRPr="000B45AA">
        <w:rPr>
          <w:bCs/>
          <w:lang w:val="en-US"/>
        </w:rPr>
        <w:t xml:space="preserve"> 2008</w:t>
      </w:r>
      <w:proofErr w:type="gramStart"/>
      <w:r w:rsidRPr="000B45AA">
        <w:rPr>
          <w:bCs/>
          <w:lang w:val="en-US"/>
        </w:rPr>
        <w:t>;66:1366</w:t>
      </w:r>
      <w:proofErr w:type="gramEnd"/>
      <w:r w:rsidRPr="000B45AA">
        <w:rPr>
          <w:bCs/>
          <w:lang w:val="en-US"/>
        </w:rPr>
        <w:t>-69.</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Yousof</w:t>
      </w:r>
      <w:proofErr w:type="spellEnd"/>
      <w:r w:rsidRPr="000B45AA">
        <w:rPr>
          <w:bCs/>
          <w:lang w:val="en-US"/>
        </w:rPr>
        <w:t xml:space="preserve"> WZ. Non-</w:t>
      </w:r>
      <w:proofErr w:type="spellStart"/>
      <w:r w:rsidRPr="000B45AA">
        <w:rPr>
          <w:bCs/>
          <w:lang w:val="en-US"/>
        </w:rPr>
        <w:t>syndromal</w:t>
      </w:r>
      <w:proofErr w:type="spellEnd"/>
      <w:r w:rsidRPr="000B45AA">
        <w:rPr>
          <w:bCs/>
          <w:lang w:val="en-US"/>
        </w:rPr>
        <w:t xml:space="preserve"> multiple supernumerary teeth: Literature review. J Can Dent Assoc 1990; 56:147-49.</w:t>
      </w:r>
    </w:p>
    <w:p w:rsidR="007040F2" w:rsidRPr="000B45AA" w:rsidRDefault="007040F2" w:rsidP="007E6823">
      <w:pPr>
        <w:numPr>
          <w:ilvl w:val="0"/>
          <w:numId w:val="9"/>
        </w:numPr>
        <w:spacing w:line="480" w:lineRule="auto"/>
        <w:jc w:val="both"/>
        <w:rPr>
          <w:bCs/>
          <w:lang w:val="en-US"/>
        </w:rPr>
      </w:pPr>
      <w:r w:rsidRPr="000B45AA">
        <w:rPr>
          <w:bCs/>
          <w:lang w:val="en-US"/>
        </w:rPr>
        <w:t xml:space="preserve">Rajab LD, </w:t>
      </w:r>
      <w:proofErr w:type="spellStart"/>
      <w:r w:rsidRPr="000B45AA">
        <w:rPr>
          <w:bCs/>
          <w:lang w:val="en-US"/>
        </w:rPr>
        <w:t>Hamdan</w:t>
      </w:r>
      <w:proofErr w:type="spellEnd"/>
      <w:r w:rsidRPr="000B45AA">
        <w:rPr>
          <w:bCs/>
          <w:lang w:val="en-US"/>
        </w:rPr>
        <w:t xml:space="preserve"> MA. Supernumerary teeth: Review of the literature and a survey of 152 cases. </w:t>
      </w:r>
      <w:proofErr w:type="spellStart"/>
      <w:r w:rsidRPr="000B45AA">
        <w:rPr>
          <w:bCs/>
          <w:lang w:val="en-US"/>
        </w:rPr>
        <w:t>Int</w:t>
      </w:r>
      <w:proofErr w:type="spellEnd"/>
      <w:r w:rsidRPr="000B45AA">
        <w:rPr>
          <w:bCs/>
          <w:lang w:val="en-US"/>
        </w:rPr>
        <w:t xml:space="preserve"> J </w:t>
      </w:r>
      <w:proofErr w:type="spellStart"/>
      <w:r w:rsidRPr="000B45AA">
        <w:rPr>
          <w:bCs/>
          <w:lang w:val="en-US"/>
        </w:rPr>
        <w:t>Paediatr</w:t>
      </w:r>
      <w:proofErr w:type="spellEnd"/>
      <w:r w:rsidRPr="000B45AA">
        <w:rPr>
          <w:bCs/>
          <w:lang w:val="en-US"/>
        </w:rPr>
        <w:t xml:space="preserve"> Dent 2002</w:t>
      </w:r>
      <w:proofErr w:type="gramStart"/>
      <w:r w:rsidRPr="000B45AA">
        <w:rPr>
          <w:bCs/>
          <w:lang w:val="en-US"/>
        </w:rPr>
        <w:t>;12</w:t>
      </w:r>
      <w:proofErr w:type="gramEnd"/>
      <w:r w:rsidRPr="000B45AA">
        <w:rPr>
          <w:bCs/>
          <w:lang w:val="en-US"/>
        </w:rPr>
        <w:t>: 244-54.</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Bodin</w:t>
      </w:r>
      <w:proofErr w:type="spellEnd"/>
      <w:r w:rsidRPr="000B45AA">
        <w:rPr>
          <w:bCs/>
          <w:lang w:val="en-US"/>
        </w:rPr>
        <w:t xml:space="preserve"> I, </w:t>
      </w:r>
      <w:proofErr w:type="spellStart"/>
      <w:r w:rsidRPr="000B45AA">
        <w:rPr>
          <w:bCs/>
          <w:lang w:val="en-US"/>
        </w:rPr>
        <w:t>Julin</w:t>
      </w:r>
      <w:proofErr w:type="spellEnd"/>
      <w:r w:rsidRPr="000B45AA">
        <w:rPr>
          <w:bCs/>
          <w:lang w:val="en-US"/>
        </w:rPr>
        <w:t xml:space="preserve"> P, </w:t>
      </w:r>
      <w:proofErr w:type="spellStart"/>
      <w:r w:rsidRPr="000B45AA">
        <w:rPr>
          <w:bCs/>
          <w:lang w:val="en-US"/>
        </w:rPr>
        <w:t>Thomsson</w:t>
      </w:r>
      <w:proofErr w:type="spellEnd"/>
      <w:r w:rsidRPr="000B45AA">
        <w:rPr>
          <w:bCs/>
          <w:lang w:val="en-US"/>
        </w:rPr>
        <w:t xml:space="preserve"> M. </w:t>
      </w:r>
      <w:proofErr w:type="spellStart"/>
      <w:r w:rsidRPr="000B45AA">
        <w:rPr>
          <w:bCs/>
          <w:lang w:val="en-US"/>
        </w:rPr>
        <w:t>Hyperdontia</w:t>
      </w:r>
      <w:proofErr w:type="spellEnd"/>
      <w:r w:rsidRPr="000B45AA">
        <w:rPr>
          <w:bCs/>
          <w:lang w:val="en-US"/>
        </w:rPr>
        <w:t xml:space="preserve">. I. Frequency and distribution of supernumerary teeth among 21,609 patients. </w:t>
      </w:r>
      <w:proofErr w:type="spellStart"/>
      <w:r w:rsidRPr="000B45AA">
        <w:rPr>
          <w:bCs/>
          <w:lang w:val="en-US"/>
        </w:rPr>
        <w:t>Dentomaxillofac</w:t>
      </w:r>
      <w:proofErr w:type="spellEnd"/>
      <w:r w:rsidRPr="000B45AA">
        <w:rPr>
          <w:bCs/>
          <w:lang w:val="en-US"/>
        </w:rPr>
        <w:t xml:space="preserve"> </w:t>
      </w:r>
      <w:proofErr w:type="spellStart"/>
      <w:r w:rsidRPr="000B45AA">
        <w:rPr>
          <w:bCs/>
          <w:lang w:val="en-US"/>
        </w:rPr>
        <w:t>Radiol</w:t>
      </w:r>
      <w:proofErr w:type="spellEnd"/>
      <w:r w:rsidRPr="000B45AA">
        <w:rPr>
          <w:bCs/>
          <w:lang w:val="en-US"/>
        </w:rPr>
        <w:t xml:space="preserve"> 1978</w:t>
      </w:r>
      <w:proofErr w:type="gramStart"/>
      <w:r w:rsidRPr="000B45AA">
        <w:rPr>
          <w:bCs/>
          <w:lang w:val="en-US"/>
        </w:rPr>
        <w:t>;7</w:t>
      </w:r>
      <w:proofErr w:type="gramEnd"/>
      <w:r w:rsidRPr="000B45AA">
        <w:rPr>
          <w:bCs/>
          <w:lang w:val="en-US"/>
        </w:rPr>
        <w:t>(1): 15-17.</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Salcido-García</w:t>
      </w:r>
      <w:proofErr w:type="spellEnd"/>
      <w:r w:rsidRPr="000B45AA">
        <w:rPr>
          <w:bCs/>
          <w:lang w:val="en-US"/>
        </w:rPr>
        <w:t xml:space="preserve"> JF, </w:t>
      </w:r>
      <w:proofErr w:type="spellStart"/>
      <w:r w:rsidRPr="000B45AA">
        <w:rPr>
          <w:bCs/>
          <w:lang w:val="en-US"/>
        </w:rPr>
        <w:t>Ledesma</w:t>
      </w:r>
      <w:proofErr w:type="spellEnd"/>
      <w:r w:rsidRPr="000B45AA">
        <w:rPr>
          <w:bCs/>
          <w:lang w:val="en-US"/>
        </w:rPr>
        <w:t xml:space="preserve">-Montes C, </w:t>
      </w:r>
      <w:proofErr w:type="spellStart"/>
      <w:r w:rsidRPr="000B45AA">
        <w:rPr>
          <w:bCs/>
          <w:lang w:val="en-US"/>
        </w:rPr>
        <w:t>Hernández</w:t>
      </w:r>
      <w:proofErr w:type="spellEnd"/>
      <w:r w:rsidRPr="000B45AA">
        <w:rPr>
          <w:bCs/>
          <w:lang w:val="en-US"/>
        </w:rPr>
        <w:t xml:space="preserve">-Flores F, </w:t>
      </w:r>
      <w:proofErr w:type="spellStart"/>
      <w:r w:rsidRPr="000B45AA">
        <w:rPr>
          <w:bCs/>
          <w:lang w:val="en-US"/>
        </w:rPr>
        <w:t>Pérez</w:t>
      </w:r>
      <w:proofErr w:type="spellEnd"/>
      <w:r w:rsidRPr="000B45AA">
        <w:rPr>
          <w:bCs/>
          <w:lang w:val="en-US"/>
        </w:rPr>
        <w:t xml:space="preserve"> D, </w:t>
      </w:r>
      <w:proofErr w:type="spellStart"/>
      <w:r w:rsidRPr="000B45AA">
        <w:rPr>
          <w:bCs/>
          <w:lang w:val="en-US"/>
        </w:rPr>
        <w:t>Garcés-Ortíz</w:t>
      </w:r>
      <w:proofErr w:type="spellEnd"/>
      <w:r w:rsidRPr="000B45AA">
        <w:rPr>
          <w:bCs/>
          <w:lang w:val="en-US"/>
        </w:rPr>
        <w:t xml:space="preserve"> M. Frequency of supernumerary teeth in Mexican population. Med Oral </w:t>
      </w:r>
      <w:proofErr w:type="spellStart"/>
      <w:r w:rsidRPr="000B45AA">
        <w:rPr>
          <w:bCs/>
          <w:lang w:val="en-US"/>
        </w:rPr>
        <w:t>Patol</w:t>
      </w:r>
      <w:proofErr w:type="spellEnd"/>
      <w:r w:rsidRPr="000B45AA">
        <w:rPr>
          <w:bCs/>
          <w:lang w:val="en-US"/>
        </w:rPr>
        <w:t xml:space="preserve"> Oral Cir Bucal.2004</w:t>
      </w:r>
      <w:proofErr w:type="gramStart"/>
      <w:r w:rsidRPr="000B45AA">
        <w:rPr>
          <w:bCs/>
          <w:lang w:val="en-US"/>
        </w:rPr>
        <w:t>;9</w:t>
      </w:r>
      <w:proofErr w:type="gramEnd"/>
      <w:r w:rsidRPr="000B45AA">
        <w:rPr>
          <w:bCs/>
          <w:lang w:val="en-US"/>
        </w:rPr>
        <w:t>: 407-9; 403-6.</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Anegundi</w:t>
      </w:r>
      <w:proofErr w:type="spellEnd"/>
      <w:r w:rsidRPr="000B45AA">
        <w:rPr>
          <w:bCs/>
          <w:lang w:val="en-US"/>
        </w:rPr>
        <w:t xml:space="preserve"> RT, </w:t>
      </w:r>
      <w:proofErr w:type="spellStart"/>
      <w:r w:rsidRPr="000B45AA">
        <w:rPr>
          <w:bCs/>
          <w:lang w:val="en-US"/>
        </w:rPr>
        <w:t>Tavargeri</w:t>
      </w:r>
      <w:proofErr w:type="spellEnd"/>
      <w:r w:rsidRPr="000B45AA">
        <w:rPr>
          <w:bCs/>
          <w:lang w:val="en-US"/>
        </w:rPr>
        <w:t xml:space="preserve"> A, </w:t>
      </w:r>
      <w:proofErr w:type="spellStart"/>
      <w:r w:rsidRPr="000B45AA">
        <w:rPr>
          <w:bCs/>
          <w:lang w:val="en-US"/>
        </w:rPr>
        <w:t>Indushekar</w:t>
      </w:r>
      <w:proofErr w:type="spellEnd"/>
      <w:r w:rsidRPr="000B45AA">
        <w:rPr>
          <w:bCs/>
          <w:lang w:val="en-US"/>
        </w:rPr>
        <w:t xml:space="preserve"> KR, </w:t>
      </w:r>
      <w:proofErr w:type="spellStart"/>
      <w:r w:rsidRPr="000B45AA">
        <w:rPr>
          <w:bCs/>
          <w:lang w:val="en-US"/>
        </w:rPr>
        <w:t>Sudha</w:t>
      </w:r>
      <w:proofErr w:type="spellEnd"/>
      <w:r w:rsidRPr="000B45AA">
        <w:rPr>
          <w:bCs/>
          <w:lang w:val="en-US"/>
        </w:rPr>
        <w:t xml:space="preserve"> P. Sequential development of multiple supplemental premolars. Four-year follow-up report. N Y State Dent J. 2008</w:t>
      </w:r>
      <w:proofErr w:type="gramStart"/>
      <w:r w:rsidRPr="000B45AA">
        <w:rPr>
          <w:bCs/>
          <w:lang w:val="en-US"/>
        </w:rPr>
        <w:t>;74:46</w:t>
      </w:r>
      <w:proofErr w:type="gramEnd"/>
      <w:r w:rsidRPr="000B45AA">
        <w:rPr>
          <w:bCs/>
          <w:lang w:val="en-US"/>
        </w:rPr>
        <w:t>-9.</w:t>
      </w:r>
    </w:p>
    <w:p w:rsidR="007040F2" w:rsidRPr="000B45AA" w:rsidRDefault="007040F2" w:rsidP="007E6823">
      <w:pPr>
        <w:numPr>
          <w:ilvl w:val="0"/>
          <w:numId w:val="9"/>
        </w:numPr>
        <w:spacing w:line="480" w:lineRule="auto"/>
        <w:jc w:val="both"/>
        <w:rPr>
          <w:bCs/>
          <w:lang w:val="en-US"/>
        </w:rPr>
      </w:pPr>
      <w:r w:rsidRPr="000B45AA">
        <w:rPr>
          <w:bCs/>
          <w:lang w:val="en-US"/>
        </w:rPr>
        <w:t xml:space="preserve">Zhu JF, </w:t>
      </w:r>
      <w:proofErr w:type="spellStart"/>
      <w:r w:rsidRPr="000B45AA">
        <w:rPr>
          <w:bCs/>
          <w:lang w:val="en-US"/>
        </w:rPr>
        <w:t>Marcushamer</w:t>
      </w:r>
      <w:proofErr w:type="spellEnd"/>
      <w:r w:rsidRPr="000B45AA">
        <w:rPr>
          <w:bCs/>
          <w:lang w:val="en-US"/>
        </w:rPr>
        <w:t xml:space="preserve"> M, King LD, Henry JR. Supernumerary and congenitally absent teeth: A literature review. J </w:t>
      </w:r>
      <w:proofErr w:type="spellStart"/>
      <w:r w:rsidRPr="000B45AA">
        <w:rPr>
          <w:bCs/>
          <w:lang w:val="en-US"/>
        </w:rPr>
        <w:t>Clin</w:t>
      </w:r>
      <w:proofErr w:type="spellEnd"/>
      <w:r w:rsidRPr="000B45AA">
        <w:rPr>
          <w:bCs/>
          <w:lang w:val="en-US"/>
        </w:rPr>
        <w:t xml:space="preserve"> </w:t>
      </w:r>
      <w:proofErr w:type="spellStart"/>
      <w:r w:rsidRPr="000B45AA">
        <w:rPr>
          <w:bCs/>
          <w:lang w:val="en-US"/>
        </w:rPr>
        <w:t>Pediatr</w:t>
      </w:r>
      <w:proofErr w:type="spellEnd"/>
      <w:r w:rsidRPr="000B45AA">
        <w:rPr>
          <w:bCs/>
          <w:lang w:val="en-US"/>
        </w:rPr>
        <w:t xml:space="preserve"> Dent 1996</w:t>
      </w:r>
      <w:proofErr w:type="gramStart"/>
      <w:r w:rsidRPr="000B45AA">
        <w:rPr>
          <w:bCs/>
          <w:lang w:val="en-US"/>
        </w:rPr>
        <w:t>;20:87</w:t>
      </w:r>
      <w:proofErr w:type="gramEnd"/>
      <w:r w:rsidRPr="000B45AA">
        <w:rPr>
          <w:bCs/>
          <w:lang w:val="en-US"/>
        </w:rPr>
        <w:t>-95.</w:t>
      </w:r>
    </w:p>
    <w:p w:rsidR="007040F2" w:rsidRPr="000B45AA" w:rsidRDefault="007040F2" w:rsidP="007E6823">
      <w:pPr>
        <w:numPr>
          <w:ilvl w:val="0"/>
          <w:numId w:val="9"/>
        </w:numPr>
        <w:spacing w:line="480" w:lineRule="auto"/>
        <w:jc w:val="both"/>
        <w:rPr>
          <w:bCs/>
          <w:lang w:val="en-US"/>
        </w:rPr>
      </w:pPr>
      <w:proofErr w:type="spellStart"/>
      <w:r w:rsidRPr="000B45AA">
        <w:rPr>
          <w:bCs/>
          <w:lang w:val="en-US"/>
        </w:rPr>
        <w:t>Hegde</w:t>
      </w:r>
      <w:proofErr w:type="spellEnd"/>
      <w:r w:rsidRPr="000B45AA">
        <w:rPr>
          <w:bCs/>
          <w:lang w:val="en-US"/>
        </w:rPr>
        <w:t xml:space="preserve"> SV, </w:t>
      </w:r>
      <w:proofErr w:type="spellStart"/>
      <w:r w:rsidRPr="000B45AA">
        <w:rPr>
          <w:bCs/>
          <w:lang w:val="en-US"/>
        </w:rPr>
        <w:t>Munshi</w:t>
      </w:r>
      <w:proofErr w:type="spellEnd"/>
      <w:r w:rsidRPr="000B45AA">
        <w:rPr>
          <w:bCs/>
          <w:lang w:val="en-US"/>
        </w:rPr>
        <w:t xml:space="preserve"> AK. Late development of supernumerary teeth in premolar region: A case report. Quintessence </w:t>
      </w:r>
      <w:proofErr w:type="spellStart"/>
      <w:r w:rsidRPr="000B45AA">
        <w:rPr>
          <w:bCs/>
          <w:lang w:val="en-US"/>
        </w:rPr>
        <w:t>Int</w:t>
      </w:r>
      <w:proofErr w:type="spellEnd"/>
      <w:r w:rsidRPr="000B45AA">
        <w:rPr>
          <w:bCs/>
          <w:lang w:val="en-US"/>
        </w:rPr>
        <w:t xml:space="preserve"> 1996</w:t>
      </w:r>
      <w:proofErr w:type="gramStart"/>
      <w:r w:rsidRPr="000B45AA">
        <w:rPr>
          <w:bCs/>
          <w:lang w:val="en-US"/>
        </w:rPr>
        <w:t>;27:479</w:t>
      </w:r>
      <w:proofErr w:type="gramEnd"/>
      <w:r w:rsidRPr="000B45AA">
        <w:rPr>
          <w:bCs/>
          <w:lang w:val="en-US"/>
        </w:rPr>
        <w:t xml:space="preserve">-81. </w:t>
      </w:r>
    </w:p>
    <w:p w:rsidR="007040F2" w:rsidRPr="000B45AA" w:rsidRDefault="007040F2" w:rsidP="007E6823">
      <w:pPr>
        <w:numPr>
          <w:ilvl w:val="0"/>
          <w:numId w:val="9"/>
        </w:numPr>
        <w:spacing w:before="60" w:line="480" w:lineRule="auto"/>
        <w:jc w:val="both"/>
      </w:pPr>
      <w:proofErr w:type="spellStart"/>
      <w:r w:rsidRPr="000B45AA">
        <w:rPr>
          <w:bCs/>
          <w:lang w:val="en-US"/>
        </w:rPr>
        <w:t>Breckon</w:t>
      </w:r>
      <w:proofErr w:type="spellEnd"/>
      <w:r w:rsidRPr="000B45AA">
        <w:rPr>
          <w:bCs/>
          <w:lang w:val="en-US"/>
        </w:rPr>
        <w:t xml:space="preserve"> JJ, Jones SP. Late forming supernumeraries in the </w:t>
      </w:r>
      <w:proofErr w:type="spellStart"/>
      <w:r w:rsidRPr="000B45AA">
        <w:rPr>
          <w:bCs/>
          <w:lang w:val="en-US"/>
        </w:rPr>
        <w:t>mandibular</w:t>
      </w:r>
      <w:proofErr w:type="spellEnd"/>
      <w:r w:rsidRPr="000B45AA">
        <w:rPr>
          <w:bCs/>
          <w:lang w:val="en-US"/>
        </w:rPr>
        <w:t xml:space="preserve"> premolar region. Br J </w:t>
      </w:r>
      <w:proofErr w:type="spellStart"/>
      <w:r w:rsidRPr="000B45AA">
        <w:rPr>
          <w:bCs/>
          <w:lang w:val="en-US"/>
        </w:rPr>
        <w:t>Orthod</w:t>
      </w:r>
      <w:proofErr w:type="spellEnd"/>
      <w:r w:rsidRPr="000B45AA">
        <w:rPr>
          <w:bCs/>
          <w:lang w:val="en-US"/>
        </w:rPr>
        <w:t>. 1991</w:t>
      </w:r>
      <w:proofErr w:type="gramStart"/>
      <w:r w:rsidRPr="000B45AA">
        <w:rPr>
          <w:bCs/>
          <w:lang w:val="en-US"/>
        </w:rPr>
        <w:t>;18:329</w:t>
      </w:r>
      <w:proofErr w:type="gramEnd"/>
      <w:r w:rsidRPr="000B45AA">
        <w:rPr>
          <w:bCs/>
          <w:lang w:val="en-US"/>
        </w:rPr>
        <w:t>-31.</w:t>
      </w:r>
    </w:p>
    <w:p w:rsidR="00C53557" w:rsidRPr="000B45AA" w:rsidRDefault="007040F2" w:rsidP="007E6823">
      <w:pPr>
        <w:numPr>
          <w:ilvl w:val="0"/>
          <w:numId w:val="9"/>
        </w:numPr>
        <w:spacing w:before="60" w:line="480" w:lineRule="auto"/>
        <w:jc w:val="both"/>
      </w:pPr>
      <w:proofErr w:type="spellStart"/>
      <w:r w:rsidRPr="000B45AA">
        <w:rPr>
          <w:bCs/>
          <w:lang w:val="en-US"/>
        </w:rPr>
        <w:t>Stafne</w:t>
      </w:r>
      <w:proofErr w:type="spellEnd"/>
      <w:r w:rsidRPr="000B45AA">
        <w:rPr>
          <w:bCs/>
          <w:lang w:val="en-US"/>
        </w:rPr>
        <w:t xml:space="preserve"> EC. Supernumerary teeth. Dent Cosmos 1932</w:t>
      </w:r>
      <w:proofErr w:type="gramStart"/>
      <w:r w:rsidRPr="000B45AA">
        <w:rPr>
          <w:bCs/>
          <w:lang w:val="en-US"/>
        </w:rPr>
        <w:t>;74</w:t>
      </w:r>
      <w:proofErr w:type="gramEnd"/>
      <w:r w:rsidRPr="000B45AA">
        <w:rPr>
          <w:bCs/>
          <w:lang w:val="en-US"/>
        </w:rPr>
        <w:t>: 653-59.</w:t>
      </w:r>
    </w:p>
    <w:p w:rsidR="00C53557" w:rsidRPr="000B45AA" w:rsidRDefault="00C53557" w:rsidP="007E6823">
      <w:pPr>
        <w:numPr>
          <w:ilvl w:val="0"/>
          <w:numId w:val="9"/>
        </w:numPr>
        <w:spacing w:before="60" w:line="480" w:lineRule="auto"/>
        <w:jc w:val="both"/>
      </w:pPr>
      <w:proofErr w:type="spellStart"/>
      <w:r w:rsidRPr="000B45AA">
        <w:t>Acikgoz</w:t>
      </w:r>
      <w:proofErr w:type="spellEnd"/>
      <w:r w:rsidRPr="000B45AA">
        <w:t xml:space="preserve"> A, </w:t>
      </w:r>
      <w:proofErr w:type="spellStart"/>
      <w:r w:rsidRPr="000B45AA">
        <w:t>Acikgoz</w:t>
      </w:r>
      <w:proofErr w:type="spellEnd"/>
      <w:r w:rsidRPr="000B45AA">
        <w:t xml:space="preserve"> G, </w:t>
      </w:r>
      <w:proofErr w:type="spellStart"/>
      <w:r w:rsidRPr="000B45AA">
        <w:t>Tunga</w:t>
      </w:r>
      <w:proofErr w:type="spellEnd"/>
      <w:r w:rsidRPr="000B45AA">
        <w:t xml:space="preserve"> </w:t>
      </w:r>
      <w:proofErr w:type="spellStart"/>
      <w:r w:rsidRPr="000B45AA">
        <w:t>U,Otan</w:t>
      </w:r>
      <w:proofErr w:type="spellEnd"/>
      <w:r w:rsidRPr="000B45AA">
        <w:t xml:space="preserve"> F. Characteristics and </w:t>
      </w:r>
      <w:proofErr w:type="spellStart"/>
      <w:r w:rsidRPr="000B45AA">
        <w:t>prevelance</w:t>
      </w:r>
      <w:proofErr w:type="spellEnd"/>
      <w:r w:rsidRPr="000B45AA">
        <w:t xml:space="preserve"> of non-</w:t>
      </w:r>
      <w:proofErr w:type="spellStart"/>
      <w:r w:rsidRPr="000B45AA">
        <w:t>syndromic</w:t>
      </w:r>
      <w:proofErr w:type="spellEnd"/>
      <w:r w:rsidRPr="000B45AA">
        <w:t xml:space="preserve"> multiple supernumerary teeth: a retrospective study. </w:t>
      </w:r>
      <w:proofErr w:type="spellStart"/>
      <w:r w:rsidRPr="000B45AA">
        <w:t>Dento-maxillofac</w:t>
      </w:r>
      <w:proofErr w:type="spellEnd"/>
      <w:r w:rsidRPr="000B45AA">
        <w:t xml:space="preserve"> </w:t>
      </w:r>
      <w:proofErr w:type="spellStart"/>
      <w:r w:rsidRPr="000B45AA">
        <w:t>Radiol</w:t>
      </w:r>
      <w:proofErr w:type="spellEnd"/>
      <w:r w:rsidRPr="000B45AA">
        <w:t xml:space="preserve"> 35:185-90</w:t>
      </w:r>
      <w:proofErr w:type="gramStart"/>
      <w:r w:rsidRPr="000B45AA">
        <w:t>,2006</w:t>
      </w:r>
      <w:proofErr w:type="gramEnd"/>
      <w:r w:rsidRPr="000B45AA">
        <w:t>.</w:t>
      </w:r>
    </w:p>
    <w:p w:rsidR="00C53557" w:rsidRPr="000B45AA" w:rsidRDefault="00C53557" w:rsidP="007E6823">
      <w:pPr>
        <w:numPr>
          <w:ilvl w:val="0"/>
          <w:numId w:val="9"/>
        </w:numPr>
        <w:spacing w:before="60" w:line="480" w:lineRule="auto"/>
        <w:jc w:val="both"/>
      </w:pPr>
      <w:proofErr w:type="spellStart"/>
      <w:r w:rsidRPr="000B45AA">
        <w:lastRenderedPageBreak/>
        <w:t>Nazif</w:t>
      </w:r>
      <w:proofErr w:type="spellEnd"/>
      <w:r w:rsidRPr="000B45AA">
        <w:t xml:space="preserve"> MM, </w:t>
      </w:r>
      <w:proofErr w:type="spellStart"/>
      <w:r w:rsidRPr="000B45AA">
        <w:t>Ruffalo</w:t>
      </w:r>
      <w:proofErr w:type="spellEnd"/>
      <w:r w:rsidRPr="000B45AA">
        <w:t xml:space="preserve"> RC, </w:t>
      </w:r>
      <w:proofErr w:type="spellStart"/>
      <w:r w:rsidRPr="000B45AA">
        <w:t>Zullo</w:t>
      </w:r>
      <w:proofErr w:type="spellEnd"/>
      <w:r w:rsidRPr="000B45AA">
        <w:t xml:space="preserve"> T. Impacted supernumerary teeth: a survey of 50 cases. J Am Dent Assoc 106:201-4</w:t>
      </w:r>
      <w:proofErr w:type="gramStart"/>
      <w:r w:rsidRPr="000B45AA">
        <w:t>,1983</w:t>
      </w:r>
      <w:proofErr w:type="gramEnd"/>
      <w:r w:rsidRPr="000B45AA">
        <w:t>.</w:t>
      </w:r>
    </w:p>
    <w:p w:rsidR="00C53557" w:rsidRPr="000B45AA" w:rsidRDefault="008B5D07" w:rsidP="007E6823">
      <w:pPr>
        <w:numPr>
          <w:ilvl w:val="0"/>
          <w:numId w:val="9"/>
        </w:numPr>
        <w:spacing w:before="60" w:line="480" w:lineRule="auto"/>
        <w:jc w:val="both"/>
      </w:pPr>
      <w:proofErr w:type="spellStart"/>
      <w:r w:rsidRPr="000B45AA">
        <w:t>Ledesma</w:t>
      </w:r>
      <w:proofErr w:type="spellEnd"/>
      <w:r w:rsidRPr="000B45AA">
        <w:t xml:space="preserve">-Montes </w:t>
      </w:r>
      <w:proofErr w:type="spellStart"/>
      <w:r w:rsidRPr="000B45AA">
        <w:t>C,Salcido</w:t>
      </w:r>
      <w:proofErr w:type="spellEnd"/>
      <w:r w:rsidRPr="000B45AA">
        <w:t xml:space="preserve">-Garcia </w:t>
      </w:r>
      <w:proofErr w:type="spellStart"/>
      <w:r w:rsidRPr="000B45AA">
        <w:t>FP,Hernandez</w:t>
      </w:r>
      <w:proofErr w:type="spellEnd"/>
      <w:r w:rsidRPr="000B45AA">
        <w:t xml:space="preserve">-Flores </w:t>
      </w:r>
      <w:proofErr w:type="spellStart"/>
      <w:r w:rsidRPr="000B45AA">
        <w:t>F,Garc</w:t>
      </w:r>
      <w:r w:rsidR="0091283D" w:rsidRPr="000B45AA">
        <w:t>es</w:t>
      </w:r>
      <w:proofErr w:type="spellEnd"/>
      <w:r w:rsidR="0091283D" w:rsidRPr="000B45AA">
        <w:t>-Ortiz M. Multiple Supernumeraries in a Non-</w:t>
      </w:r>
      <w:proofErr w:type="spellStart"/>
      <w:r w:rsidR="0091283D" w:rsidRPr="000B45AA">
        <w:t>syndromic</w:t>
      </w:r>
      <w:proofErr w:type="spellEnd"/>
      <w:r w:rsidR="0091283D" w:rsidRPr="000B45AA">
        <w:t xml:space="preserve"> Patient. J </w:t>
      </w:r>
      <w:proofErr w:type="spellStart"/>
      <w:r w:rsidR="0091283D" w:rsidRPr="000B45AA">
        <w:t>Clin</w:t>
      </w:r>
      <w:proofErr w:type="spellEnd"/>
      <w:r w:rsidR="0091283D" w:rsidRPr="000B45AA">
        <w:t xml:space="preserve"> </w:t>
      </w:r>
      <w:proofErr w:type="spellStart"/>
      <w:r w:rsidR="0091283D" w:rsidRPr="000B45AA">
        <w:t>Pediat</w:t>
      </w:r>
      <w:proofErr w:type="spellEnd"/>
      <w:r w:rsidR="0091283D" w:rsidRPr="000B45AA">
        <w:t xml:space="preserve"> Dent 37:193-195, No. 2/2012.</w:t>
      </w:r>
    </w:p>
    <w:p w:rsidR="0091283D" w:rsidRPr="000B45AA" w:rsidRDefault="0091283D" w:rsidP="007E6823">
      <w:pPr>
        <w:numPr>
          <w:ilvl w:val="0"/>
          <w:numId w:val="9"/>
        </w:numPr>
        <w:spacing w:before="60" w:line="480" w:lineRule="auto"/>
        <w:jc w:val="both"/>
      </w:pPr>
      <w:r w:rsidRPr="000B45AA">
        <w:t xml:space="preserve">Joaquin </w:t>
      </w:r>
      <w:proofErr w:type="spellStart"/>
      <w:r w:rsidRPr="000B45AA">
        <w:t>Alvira</w:t>
      </w:r>
      <w:proofErr w:type="spellEnd"/>
      <w:r w:rsidRPr="000B45AA">
        <w:t xml:space="preserve"> G, </w:t>
      </w:r>
      <w:proofErr w:type="spellStart"/>
      <w:r w:rsidRPr="000B45AA">
        <w:t>Cosme</w:t>
      </w:r>
      <w:proofErr w:type="spellEnd"/>
      <w:r w:rsidRPr="000B45AA">
        <w:t xml:space="preserve"> Gay E. Non-</w:t>
      </w:r>
      <w:proofErr w:type="spellStart"/>
      <w:r w:rsidRPr="000B45AA">
        <w:t>syndromic</w:t>
      </w:r>
      <w:proofErr w:type="spellEnd"/>
      <w:r w:rsidRPr="000B45AA">
        <w:t xml:space="preserve"> multiple supernumerary teeth: meta-analysis. J Oral </w:t>
      </w:r>
      <w:proofErr w:type="spellStart"/>
      <w:r w:rsidRPr="000B45AA">
        <w:t>Pathol</w:t>
      </w:r>
      <w:proofErr w:type="spellEnd"/>
      <w:r w:rsidRPr="000B45AA">
        <w:t xml:space="preserve"> Med 41:361-366, 2012.</w:t>
      </w:r>
    </w:p>
    <w:p w:rsidR="0091283D" w:rsidRPr="000B45AA" w:rsidRDefault="004617F7" w:rsidP="007E6823">
      <w:pPr>
        <w:numPr>
          <w:ilvl w:val="0"/>
          <w:numId w:val="9"/>
        </w:numPr>
        <w:spacing w:before="60" w:line="480" w:lineRule="auto"/>
        <w:jc w:val="both"/>
      </w:pPr>
      <w:r w:rsidRPr="000B45AA">
        <w:t xml:space="preserve">Mali S, </w:t>
      </w:r>
      <w:proofErr w:type="spellStart"/>
      <w:r w:rsidRPr="000B45AA">
        <w:t>Karjodkar</w:t>
      </w:r>
      <w:proofErr w:type="spellEnd"/>
      <w:r w:rsidRPr="000B45AA">
        <w:t xml:space="preserve"> FR, </w:t>
      </w:r>
      <w:proofErr w:type="spellStart"/>
      <w:r w:rsidRPr="000B45AA">
        <w:t>Sontakke</w:t>
      </w:r>
      <w:proofErr w:type="spellEnd"/>
      <w:r w:rsidRPr="000B45AA">
        <w:t xml:space="preserve"> S, </w:t>
      </w:r>
      <w:proofErr w:type="spellStart"/>
      <w:r w:rsidRPr="000B45AA">
        <w:t>Sansare</w:t>
      </w:r>
      <w:proofErr w:type="spellEnd"/>
      <w:r w:rsidRPr="000B45AA">
        <w:t xml:space="preserve"> </w:t>
      </w:r>
      <w:proofErr w:type="spellStart"/>
      <w:r w:rsidRPr="000B45AA">
        <w:t>Kaustabh</w:t>
      </w:r>
      <w:proofErr w:type="spellEnd"/>
      <w:r w:rsidRPr="000B45AA">
        <w:t>. Supernumerary teeth in non-</w:t>
      </w:r>
      <w:proofErr w:type="spellStart"/>
      <w:r w:rsidRPr="000B45AA">
        <w:t>syndromic</w:t>
      </w:r>
      <w:proofErr w:type="spellEnd"/>
      <w:r w:rsidRPr="000B45AA">
        <w:t xml:space="preserve"> patients. Imaging</w:t>
      </w:r>
      <w:r w:rsidR="00426E2F" w:rsidRPr="000B45AA">
        <w:t xml:space="preserve"> </w:t>
      </w:r>
      <w:proofErr w:type="spellStart"/>
      <w:r w:rsidR="00426E2F" w:rsidRPr="000B45AA">
        <w:t>Sci</w:t>
      </w:r>
      <w:proofErr w:type="spellEnd"/>
      <w:r w:rsidR="00426E2F" w:rsidRPr="000B45AA">
        <w:t xml:space="preserve"> Dent. 42(1):41-45, March 2012.</w:t>
      </w:r>
    </w:p>
    <w:p w:rsidR="00426E2F" w:rsidRPr="000B45AA" w:rsidRDefault="00426E2F" w:rsidP="007E6823">
      <w:pPr>
        <w:numPr>
          <w:ilvl w:val="0"/>
          <w:numId w:val="9"/>
        </w:numPr>
        <w:spacing w:before="60" w:line="480" w:lineRule="auto"/>
        <w:jc w:val="both"/>
      </w:pPr>
      <w:proofErr w:type="spellStart"/>
      <w:r w:rsidRPr="000B45AA">
        <w:t>Ferriol-Fiol</w:t>
      </w:r>
      <w:proofErr w:type="spellEnd"/>
      <w:r w:rsidRPr="000B45AA">
        <w:t xml:space="preserve"> MN, Xavier S, </w:t>
      </w:r>
      <w:proofErr w:type="spellStart"/>
      <w:r w:rsidRPr="000B45AA">
        <w:t>Figueiredo</w:t>
      </w:r>
      <w:proofErr w:type="spellEnd"/>
      <w:r w:rsidRPr="000B45AA">
        <w:t xml:space="preserve"> R, </w:t>
      </w:r>
      <w:proofErr w:type="spellStart"/>
      <w:r w:rsidRPr="000B45AA">
        <w:t>Valmaseda</w:t>
      </w:r>
      <w:proofErr w:type="spellEnd"/>
      <w:r w:rsidRPr="000B45AA">
        <w:t>-Castellon E, Gay-</w:t>
      </w:r>
      <w:proofErr w:type="spellStart"/>
      <w:r w:rsidRPr="000B45AA">
        <w:t>Escoda</w:t>
      </w:r>
      <w:proofErr w:type="spellEnd"/>
      <w:r w:rsidRPr="000B45AA">
        <w:t xml:space="preserve"> C. </w:t>
      </w:r>
      <w:proofErr w:type="spellStart"/>
      <w:r w:rsidRPr="000B45AA">
        <w:t>Hiperodoncia</w:t>
      </w:r>
      <w:proofErr w:type="spellEnd"/>
      <w:r w:rsidRPr="000B45AA">
        <w:t xml:space="preserve"> multiple no </w:t>
      </w:r>
      <w:proofErr w:type="spellStart"/>
      <w:r w:rsidRPr="000B45AA">
        <w:t>asociada</w:t>
      </w:r>
      <w:proofErr w:type="spellEnd"/>
      <w:r w:rsidRPr="000B45AA">
        <w:t xml:space="preserve"> a syndromes. A </w:t>
      </w:r>
      <w:proofErr w:type="spellStart"/>
      <w:r w:rsidRPr="000B45AA">
        <w:t>proposito</w:t>
      </w:r>
      <w:proofErr w:type="spellEnd"/>
      <w:r w:rsidRPr="000B45AA">
        <w:t xml:space="preserve"> de dos </w:t>
      </w:r>
      <w:proofErr w:type="spellStart"/>
      <w:r w:rsidRPr="000B45AA">
        <w:t>casos</w:t>
      </w:r>
      <w:proofErr w:type="spellEnd"/>
      <w:r w:rsidRPr="000B45AA">
        <w:t xml:space="preserve">. Med Oral </w:t>
      </w:r>
      <w:proofErr w:type="spellStart"/>
      <w:r w:rsidRPr="000B45AA">
        <w:t>Patol</w:t>
      </w:r>
      <w:proofErr w:type="spellEnd"/>
      <w:r w:rsidRPr="000B45AA">
        <w:t xml:space="preserve"> Oral Cir </w:t>
      </w:r>
      <w:proofErr w:type="spellStart"/>
      <w:r w:rsidRPr="000B45AA">
        <w:t>Bucal</w:t>
      </w:r>
      <w:proofErr w:type="spellEnd"/>
      <w:r w:rsidRPr="000B45AA">
        <w:t>; 16:89-93</w:t>
      </w:r>
      <w:r w:rsidR="00EC1346" w:rsidRPr="000B45AA">
        <w:t>, 2011.</w:t>
      </w:r>
    </w:p>
    <w:p w:rsidR="00426E2F" w:rsidRPr="000B45AA" w:rsidRDefault="00426E2F" w:rsidP="007E6823">
      <w:pPr>
        <w:numPr>
          <w:ilvl w:val="0"/>
          <w:numId w:val="9"/>
        </w:numPr>
        <w:spacing w:before="60" w:line="480" w:lineRule="auto"/>
        <w:jc w:val="both"/>
      </w:pPr>
      <w:proofErr w:type="spellStart"/>
      <w:r w:rsidRPr="000B45AA">
        <w:t>Inchingolo</w:t>
      </w:r>
      <w:proofErr w:type="spellEnd"/>
      <w:r w:rsidRPr="000B45AA">
        <w:t xml:space="preserve"> F, </w:t>
      </w:r>
      <w:proofErr w:type="spellStart"/>
      <w:r w:rsidRPr="000B45AA">
        <w:t>Tatullo</w:t>
      </w:r>
      <w:proofErr w:type="spellEnd"/>
      <w:r w:rsidRPr="000B45AA">
        <w:t xml:space="preserve"> M, </w:t>
      </w:r>
      <w:proofErr w:type="spellStart"/>
      <w:r w:rsidRPr="000B45AA">
        <w:t>Abenavoli</w:t>
      </w:r>
      <w:proofErr w:type="spellEnd"/>
      <w:r w:rsidRPr="000B45AA">
        <w:t xml:space="preserve"> FM, et al. Non </w:t>
      </w:r>
      <w:proofErr w:type="spellStart"/>
      <w:r w:rsidRPr="000B45AA">
        <w:t>Syndromic</w:t>
      </w:r>
      <w:proofErr w:type="spellEnd"/>
      <w:r w:rsidRPr="000B45AA">
        <w:t xml:space="preserve"> multiple supernumerary teeth in a family unit with a normal </w:t>
      </w:r>
      <w:proofErr w:type="spellStart"/>
      <w:r w:rsidRPr="000B45AA">
        <w:t>karyotype</w:t>
      </w:r>
      <w:proofErr w:type="spellEnd"/>
      <w:r w:rsidRPr="000B45AA">
        <w:t xml:space="preserve">: case report. </w:t>
      </w:r>
      <w:proofErr w:type="spellStart"/>
      <w:r w:rsidRPr="000B45AA">
        <w:t>Int</w:t>
      </w:r>
      <w:proofErr w:type="spellEnd"/>
      <w:r w:rsidRPr="000B45AA">
        <w:t xml:space="preserve"> J Med Sci</w:t>
      </w:r>
      <w:proofErr w:type="gramStart"/>
      <w:r w:rsidRPr="000B45AA">
        <w:t>;7</w:t>
      </w:r>
      <w:proofErr w:type="gramEnd"/>
      <w:r w:rsidRPr="000B45AA">
        <w:t>: 378-84</w:t>
      </w:r>
      <w:r w:rsidR="00EC1346" w:rsidRPr="000B45AA">
        <w:t>, 2010</w:t>
      </w:r>
      <w:r w:rsidRPr="000B45AA">
        <w:t>.</w:t>
      </w:r>
    </w:p>
    <w:p w:rsidR="00C53F3E" w:rsidRPr="000B45AA" w:rsidRDefault="00C53F3E" w:rsidP="007E6823">
      <w:pPr>
        <w:numPr>
          <w:ilvl w:val="0"/>
          <w:numId w:val="9"/>
        </w:numPr>
        <w:spacing w:before="60" w:line="480" w:lineRule="auto"/>
        <w:jc w:val="both"/>
      </w:pPr>
      <w:proofErr w:type="spellStart"/>
      <w:r w:rsidRPr="000B45AA">
        <w:t>Sivapathasundharam</w:t>
      </w:r>
      <w:proofErr w:type="spellEnd"/>
      <w:r w:rsidRPr="000B45AA">
        <w:t xml:space="preserve"> </w:t>
      </w:r>
      <w:proofErr w:type="spellStart"/>
      <w:r w:rsidRPr="000B45AA">
        <w:t>B</w:t>
      </w:r>
      <w:proofErr w:type="gramStart"/>
      <w:r w:rsidRPr="000B45AA">
        <w:t>,Sinstein</w:t>
      </w:r>
      <w:proofErr w:type="spellEnd"/>
      <w:proofErr w:type="gramEnd"/>
      <w:r w:rsidRPr="000B45AA">
        <w:t xml:space="preserve"> A. Non-</w:t>
      </w:r>
      <w:proofErr w:type="spellStart"/>
      <w:r w:rsidRPr="000B45AA">
        <w:t>syndromic</w:t>
      </w:r>
      <w:proofErr w:type="spellEnd"/>
      <w:r w:rsidRPr="000B45AA">
        <w:t xml:space="preserve"> multiple supernumerary teeth: report of a case with 14 supplemental teeth. Indian J Dent Res 2007; 18:144.</w:t>
      </w:r>
    </w:p>
    <w:p w:rsidR="00A64214" w:rsidRPr="000B45AA" w:rsidRDefault="00D6207A" w:rsidP="007E6823">
      <w:pPr>
        <w:numPr>
          <w:ilvl w:val="0"/>
          <w:numId w:val="9"/>
        </w:numPr>
        <w:spacing w:before="60" w:line="480" w:lineRule="auto"/>
        <w:jc w:val="both"/>
      </w:pPr>
      <w:proofErr w:type="spellStart"/>
      <w:r w:rsidRPr="000B45AA">
        <w:t>Srivatsan</w:t>
      </w:r>
      <w:proofErr w:type="spellEnd"/>
      <w:r w:rsidRPr="000B45AA">
        <w:t xml:space="preserve"> P, </w:t>
      </w:r>
      <w:proofErr w:type="spellStart"/>
      <w:r w:rsidRPr="000B45AA">
        <w:t>Aravindha</w:t>
      </w:r>
      <w:proofErr w:type="spellEnd"/>
      <w:r w:rsidRPr="000B45AA">
        <w:t xml:space="preserve"> </w:t>
      </w:r>
      <w:proofErr w:type="spellStart"/>
      <w:r w:rsidRPr="000B45AA">
        <w:t>Babu</w:t>
      </w:r>
      <w:proofErr w:type="spellEnd"/>
      <w:r w:rsidRPr="000B45AA">
        <w:t xml:space="preserve"> N. </w:t>
      </w:r>
      <w:proofErr w:type="spellStart"/>
      <w:r w:rsidRPr="000B45AA">
        <w:t>Mesiodens</w:t>
      </w:r>
      <w:proofErr w:type="spellEnd"/>
      <w:r w:rsidRPr="000B45AA">
        <w:t xml:space="preserve"> with an unusual morphology and multiple impacted supernumerary teeth in a non-</w:t>
      </w:r>
      <w:proofErr w:type="spellStart"/>
      <w:r w:rsidRPr="000B45AA">
        <w:t>syndromic</w:t>
      </w:r>
      <w:proofErr w:type="spellEnd"/>
      <w:r w:rsidRPr="000B45AA">
        <w:t xml:space="preserve"> patient. Indian J Dent Res</w:t>
      </w:r>
      <w:proofErr w:type="gramStart"/>
      <w:r w:rsidR="00B350BC" w:rsidRPr="000B45AA">
        <w:t>;18:138</w:t>
      </w:r>
      <w:proofErr w:type="gramEnd"/>
      <w:r w:rsidR="00B350BC" w:rsidRPr="000B45AA">
        <w:t>-40, 2007.</w:t>
      </w:r>
    </w:p>
    <w:p w:rsidR="006545F1" w:rsidRPr="000B45AA" w:rsidRDefault="00B21D47" w:rsidP="007E6823">
      <w:pPr>
        <w:numPr>
          <w:ilvl w:val="0"/>
          <w:numId w:val="9"/>
        </w:numPr>
        <w:spacing w:before="60" w:line="480" w:lineRule="auto"/>
        <w:jc w:val="both"/>
      </w:pPr>
      <w:r w:rsidRPr="000B45AA">
        <w:t>Wang</w:t>
      </w:r>
      <w:r w:rsidR="006545F1" w:rsidRPr="000B45AA">
        <w:t xml:space="preserve"> X-X, Zhang J, Wei FC. </w:t>
      </w:r>
      <w:proofErr w:type="spellStart"/>
      <w:r w:rsidR="006545F1" w:rsidRPr="000B45AA">
        <w:t>Autosomal</w:t>
      </w:r>
      <w:proofErr w:type="spellEnd"/>
      <w:r w:rsidR="006545F1" w:rsidRPr="000B45AA">
        <w:t xml:space="preserve"> dominant inherence of multiple supernumerary teeth. </w:t>
      </w:r>
      <w:proofErr w:type="spellStart"/>
      <w:r w:rsidR="006545F1" w:rsidRPr="000B45AA">
        <w:t>Int</w:t>
      </w:r>
      <w:proofErr w:type="spellEnd"/>
      <w:r w:rsidR="006545F1" w:rsidRPr="000B45AA">
        <w:t xml:space="preserve"> J Oral </w:t>
      </w:r>
      <w:proofErr w:type="spellStart"/>
      <w:r w:rsidR="006545F1" w:rsidRPr="000B45AA">
        <w:t>Maxillofac</w:t>
      </w:r>
      <w:proofErr w:type="spellEnd"/>
      <w:r w:rsidR="006545F1" w:rsidRPr="000B45AA">
        <w:t xml:space="preserve"> </w:t>
      </w:r>
      <w:proofErr w:type="spellStart"/>
      <w:r w:rsidR="006545F1" w:rsidRPr="000B45AA">
        <w:t>Surg</w:t>
      </w:r>
      <w:proofErr w:type="spellEnd"/>
      <w:r w:rsidR="006545F1" w:rsidRPr="000B45AA">
        <w:t xml:space="preserve"> 36:756-8</w:t>
      </w:r>
      <w:proofErr w:type="gramStart"/>
      <w:r w:rsidR="006545F1" w:rsidRPr="000B45AA">
        <w:t>,2007</w:t>
      </w:r>
      <w:proofErr w:type="gramEnd"/>
      <w:r w:rsidR="006545F1" w:rsidRPr="000B45AA">
        <w:t>.</w:t>
      </w:r>
    </w:p>
    <w:p w:rsidR="00B350BC" w:rsidRPr="000B45AA" w:rsidRDefault="00B350BC" w:rsidP="007E6823">
      <w:pPr>
        <w:numPr>
          <w:ilvl w:val="0"/>
          <w:numId w:val="9"/>
        </w:numPr>
        <w:spacing w:before="60" w:line="480" w:lineRule="auto"/>
        <w:jc w:val="both"/>
      </w:pPr>
      <w:proofErr w:type="spellStart"/>
      <w:r w:rsidRPr="000B45AA">
        <w:t>Nayak</w:t>
      </w:r>
      <w:proofErr w:type="spellEnd"/>
      <w:r w:rsidRPr="000B45AA">
        <w:t xml:space="preserve"> UA, </w:t>
      </w:r>
      <w:proofErr w:type="spellStart"/>
      <w:r w:rsidRPr="000B45AA">
        <w:t>Mathain</w:t>
      </w:r>
      <w:proofErr w:type="spellEnd"/>
      <w:r w:rsidRPr="000B45AA">
        <w:t xml:space="preserve"> VM, </w:t>
      </w:r>
      <w:proofErr w:type="spellStart"/>
      <w:r w:rsidRPr="000B45AA">
        <w:t>Ceerakumar</w:t>
      </w:r>
      <w:proofErr w:type="spellEnd"/>
      <w:r w:rsidRPr="000B45AA">
        <w:t xml:space="preserve"> C. Non-syndrome associated multiple supernumerary teeth: A report for two cases. J Indian Soc </w:t>
      </w:r>
      <w:proofErr w:type="spellStart"/>
      <w:r w:rsidRPr="000B45AA">
        <w:t>Pedo</w:t>
      </w:r>
      <w:proofErr w:type="spellEnd"/>
      <w:r w:rsidRPr="000B45AA">
        <w:t xml:space="preserve"> </w:t>
      </w:r>
      <w:proofErr w:type="spellStart"/>
      <w:r w:rsidRPr="000B45AA">
        <w:t>Prev</w:t>
      </w:r>
      <w:proofErr w:type="spellEnd"/>
      <w:r w:rsidRPr="000B45AA">
        <w:t xml:space="preserve"> Dent 24(2 </w:t>
      </w:r>
      <w:proofErr w:type="spellStart"/>
      <w:r w:rsidRPr="000B45AA">
        <w:t>Suppl</w:t>
      </w:r>
      <w:proofErr w:type="spellEnd"/>
      <w:r w:rsidRPr="000B45AA">
        <w:t>); S11-4</w:t>
      </w:r>
      <w:proofErr w:type="gramStart"/>
      <w:r w:rsidRPr="000B45AA">
        <w:t>,2006</w:t>
      </w:r>
      <w:proofErr w:type="gramEnd"/>
      <w:r w:rsidRPr="000B45AA">
        <w:t>.</w:t>
      </w:r>
    </w:p>
    <w:p w:rsidR="00B350BC" w:rsidRPr="000B45AA" w:rsidRDefault="00AF223C" w:rsidP="007E6823">
      <w:pPr>
        <w:numPr>
          <w:ilvl w:val="0"/>
          <w:numId w:val="9"/>
        </w:numPr>
        <w:spacing w:before="60" w:line="480" w:lineRule="auto"/>
        <w:jc w:val="both"/>
      </w:pPr>
      <w:proofErr w:type="spellStart"/>
      <w:r w:rsidRPr="000B45AA">
        <w:t>Batra</w:t>
      </w:r>
      <w:proofErr w:type="spellEnd"/>
      <w:r w:rsidRPr="000B45AA">
        <w:t xml:space="preserve"> P, </w:t>
      </w:r>
      <w:proofErr w:type="spellStart"/>
      <w:r w:rsidRPr="000B45AA">
        <w:t>Duggal</w:t>
      </w:r>
      <w:proofErr w:type="spellEnd"/>
      <w:r w:rsidRPr="000B45AA">
        <w:t xml:space="preserve"> R, </w:t>
      </w:r>
      <w:proofErr w:type="spellStart"/>
      <w:proofErr w:type="gramStart"/>
      <w:r w:rsidRPr="000B45AA">
        <w:t>Parkash</w:t>
      </w:r>
      <w:proofErr w:type="spellEnd"/>
      <w:proofErr w:type="gramEnd"/>
      <w:r w:rsidRPr="000B45AA">
        <w:t xml:space="preserve"> H. Non-</w:t>
      </w:r>
      <w:proofErr w:type="spellStart"/>
      <w:r w:rsidRPr="000B45AA">
        <w:t>syndromic</w:t>
      </w:r>
      <w:proofErr w:type="spellEnd"/>
      <w:r w:rsidRPr="000B45AA">
        <w:t xml:space="preserve"> multiple supernumerary teeth transmitted as an </w:t>
      </w:r>
      <w:proofErr w:type="spellStart"/>
      <w:r w:rsidRPr="000B45AA">
        <w:t>autosomal</w:t>
      </w:r>
      <w:proofErr w:type="spellEnd"/>
      <w:r w:rsidRPr="000B45AA">
        <w:t xml:space="preserve"> dominant trait. J Oral </w:t>
      </w:r>
      <w:proofErr w:type="spellStart"/>
      <w:r w:rsidRPr="000B45AA">
        <w:t>Pathol</w:t>
      </w:r>
      <w:proofErr w:type="spellEnd"/>
      <w:r w:rsidRPr="000B45AA">
        <w:t xml:space="preserve"> Med. 2005</w:t>
      </w:r>
      <w:proofErr w:type="gramStart"/>
      <w:r w:rsidRPr="000B45AA">
        <w:t>;34:621</w:t>
      </w:r>
      <w:proofErr w:type="gramEnd"/>
      <w:r w:rsidRPr="000B45AA">
        <w:t>–625.</w:t>
      </w:r>
    </w:p>
    <w:p w:rsidR="00AF223C" w:rsidRPr="000B45AA" w:rsidRDefault="00602A0D" w:rsidP="007E6823">
      <w:pPr>
        <w:numPr>
          <w:ilvl w:val="0"/>
          <w:numId w:val="9"/>
        </w:numPr>
        <w:spacing w:before="60" w:line="480" w:lineRule="auto"/>
        <w:jc w:val="both"/>
      </w:pPr>
      <w:proofErr w:type="spellStart"/>
      <w:r w:rsidRPr="000B45AA">
        <w:t>Arathi</w:t>
      </w:r>
      <w:proofErr w:type="spellEnd"/>
      <w:r w:rsidRPr="000B45AA">
        <w:t xml:space="preserve"> R, </w:t>
      </w:r>
      <w:proofErr w:type="spellStart"/>
      <w:r w:rsidRPr="000B45AA">
        <w:t>Ashwini</w:t>
      </w:r>
      <w:proofErr w:type="spellEnd"/>
      <w:r w:rsidRPr="000B45AA">
        <w:t xml:space="preserve"> R. Supernumerary teeth. A case report. J Indian Soc </w:t>
      </w:r>
      <w:proofErr w:type="spellStart"/>
      <w:r w:rsidRPr="000B45AA">
        <w:t>Pedod</w:t>
      </w:r>
      <w:proofErr w:type="spellEnd"/>
      <w:r w:rsidRPr="000B45AA">
        <w:t xml:space="preserve"> Prevent Dent 23:103-5</w:t>
      </w:r>
      <w:proofErr w:type="gramStart"/>
      <w:r w:rsidRPr="000B45AA">
        <w:t>,2005</w:t>
      </w:r>
      <w:proofErr w:type="gramEnd"/>
      <w:r w:rsidRPr="000B45AA">
        <w:t>.</w:t>
      </w:r>
    </w:p>
    <w:p w:rsidR="002662FA" w:rsidRPr="000B45AA" w:rsidRDefault="002662FA" w:rsidP="007E6823">
      <w:pPr>
        <w:numPr>
          <w:ilvl w:val="0"/>
          <w:numId w:val="9"/>
        </w:numPr>
        <w:spacing w:before="60" w:line="480" w:lineRule="auto"/>
        <w:jc w:val="both"/>
      </w:pPr>
      <w:proofErr w:type="spellStart"/>
      <w:r w:rsidRPr="000B45AA">
        <w:t>Bartleman</w:t>
      </w:r>
      <w:proofErr w:type="spellEnd"/>
      <w:r w:rsidRPr="000B45AA">
        <w:t xml:space="preserve"> FC. Supernumerary teeth. Dental Cosmos 74:1028</w:t>
      </w:r>
      <w:proofErr w:type="gramStart"/>
      <w:r w:rsidRPr="000B45AA">
        <w:t>,1932</w:t>
      </w:r>
      <w:proofErr w:type="gramEnd"/>
      <w:r w:rsidRPr="000B45AA">
        <w:t>.</w:t>
      </w:r>
    </w:p>
    <w:p w:rsidR="002662FA" w:rsidRPr="000B45AA" w:rsidRDefault="00710D4E" w:rsidP="007E6823">
      <w:pPr>
        <w:numPr>
          <w:ilvl w:val="0"/>
          <w:numId w:val="9"/>
        </w:numPr>
        <w:spacing w:before="60" w:line="480" w:lineRule="auto"/>
        <w:jc w:val="both"/>
      </w:pPr>
      <w:proofErr w:type="spellStart"/>
      <w:r w:rsidRPr="000B45AA">
        <w:lastRenderedPageBreak/>
        <w:t>Manrique</w:t>
      </w:r>
      <w:proofErr w:type="spellEnd"/>
      <w:r w:rsidRPr="000B45AA">
        <w:t xml:space="preserve"> Mora MC, </w:t>
      </w:r>
      <w:proofErr w:type="spellStart"/>
      <w:r w:rsidRPr="000B45AA">
        <w:t>Bolanos</w:t>
      </w:r>
      <w:proofErr w:type="spellEnd"/>
      <w:r w:rsidRPr="000B45AA">
        <w:t xml:space="preserve"> Carmona MV, </w:t>
      </w:r>
      <w:proofErr w:type="spellStart"/>
      <w:r w:rsidRPr="000B45AA">
        <w:t>Briones</w:t>
      </w:r>
      <w:proofErr w:type="spellEnd"/>
      <w:r w:rsidRPr="000B45AA">
        <w:t xml:space="preserve"> Lujan MT. </w:t>
      </w:r>
      <w:proofErr w:type="spellStart"/>
      <w:r w:rsidRPr="000B45AA">
        <w:t>Molarization</w:t>
      </w:r>
      <w:proofErr w:type="spellEnd"/>
      <w:r w:rsidRPr="000B45AA">
        <w:t xml:space="preserve"> and development of multiple supernumerary teeth in the premolar region. J Dent Child (Chic) 2004; 71:171-4.</w:t>
      </w:r>
    </w:p>
    <w:p w:rsidR="00710D4E" w:rsidRPr="000B45AA" w:rsidRDefault="0075052D" w:rsidP="007E6823">
      <w:pPr>
        <w:numPr>
          <w:ilvl w:val="0"/>
          <w:numId w:val="9"/>
        </w:numPr>
        <w:spacing w:before="60" w:line="480" w:lineRule="auto"/>
        <w:jc w:val="both"/>
      </w:pPr>
      <w:r w:rsidRPr="000B45AA">
        <w:t xml:space="preserve">So LL. Unusual supernumerary teeth. Angle </w:t>
      </w:r>
      <w:proofErr w:type="spellStart"/>
      <w:r w:rsidRPr="000B45AA">
        <w:t>Orthod</w:t>
      </w:r>
      <w:proofErr w:type="spellEnd"/>
      <w:r w:rsidRPr="000B45AA">
        <w:t xml:space="preserve"> 1990; </w:t>
      </w:r>
      <w:r w:rsidR="003A3B18" w:rsidRPr="000B45AA">
        <w:t>60:289-92.</w:t>
      </w:r>
    </w:p>
    <w:p w:rsidR="003A3B18" w:rsidRPr="000B45AA" w:rsidRDefault="003A3B18" w:rsidP="007E6823">
      <w:pPr>
        <w:numPr>
          <w:ilvl w:val="0"/>
          <w:numId w:val="9"/>
        </w:numPr>
        <w:spacing w:before="60" w:line="480" w:lineRule="auto"/>
        <w:jc w:val="both"/>
      </w:pPr>
      <w:proofErr w:type="spellStart"/>
      <w:r w:rsidRPr="000B45AA">
        <w:t>Ng’</w:t>
      </w:r>
      <w:r w:rsidR="00BD5348" w:rsidRPr="000B45AA">
        <w:t>an</w:t>
      </w:r>
      <w:r w:rsidRPr="000B45AA">
        <w:t>g’a</w:t>
      </w:r>
      <w:proofErr w:type="spellEnd"/>
      <w:r w:rsidRPr="000B45AA">
        <w:t xml:space="preserve"> PM, </w:t>
      </w:r>
      <w:proofErr w:type="spellStart"/>
      <w:r w:rsidRPr="000B45AA">
        <w:t>Guthua</w:t>
      </w:r>
      <w:proofErr w:type="spellEnd"/>
      <w:r w:rsidRPr="000B45AA">
        <w:t xml:space="preserve"> SW, </w:t>
      </w:r>
      <w:proofErr w:type="spellStart"/>
      <w:r w:rsidRPr="000B45AA">
        <w:t>Ng’ang’a</w:t>
      </w:r>
      <w:proofErr w:type="spellEnd"/>
      <w:r w:rsidRPr="000B45AA">
        <w:t xml:space="preserve"> RN. Multiple </w:t>
      </w:r>
      <w:proofErr w:type="spellStart"/>
      <w:r w:rsidRPr="000B45AA">
        <w:t>supermuerary</w:t>
      </w:r>
      <w:proofErr w:type="spellEnd"/>
      <w:r w:rsidRPr="000B45AA">
        <w:t xml:space="preserve"> teeth in association with malocclusion: report of two cases. East </w:t>
      </w:r>
      <w:proofErr w:type="spellStart"/>
      <w:r w:rsidRPr="000B45AA">
        <w:t>Afr</w:t>
      </w:r>
      <w:proofErr w:type="spellEnd"/>
      <w:r w:rsidRPr="000B45AA">
        <w:t xml:space="preserve"> Med J 2002</w:t>
      </w:r>
      <w:proofErr w:type="gramStart"/>
      <w:r w:rsidRPr="000B45AA">
        <w:t>;79</w:t>
      </w:r>
      <w:proofErr w:type="gramEnd"/>
      <w:r w:rsidRPr="000B45AA">
        <w:t>: 221-3.</w:t>
      </w:r>
    </w:p>
    <w:p w:rsidR="004B2784" w:rsidRPr="000B45AA" w:rsidRDefault="004B2784" w:rsidP="007E6823">
      <w:pPr>
        <w:numPr>
          <w:ilvl w:val="0"/>
          <w:numId w:val="9"/>
        </w:numPr>
        <w:spacing w:before="60" w:line="480" w:lineRule="auto"/>
        <w:jc w:val="both"/>
      </w:pPr>
      <w:proofErr w:type="spellStart"/>
      <w:r w:rsidRPr="000B45AA">
        <w:t>Arcuri</w:t>
      </w:r>
      <w:proofErr w:type="spellEnd"/>
      <w:r w:rsidRPr="000B45AA">
        <w:t xml:space="preserve"> C, </w:t>
      </w:r>
      <w:proofErr w:type="spellStart"/>
      <w:r w:rsidRPr="000B45AA">
        <w:t>Muzzi</w:t>
      </w:r>
      <w:proofErr w:type="spellEnd"/>
      <w:r w:rsidRPr="000B45AA">
        <w:t xml:space="preserve"> F, </w:t>
      </w:r>
      <w:proofErr w:type="spellStart"/>
      <w:r w:rsidRPr="000B45AA">
        <w:t>Romanini</w:t>
      </w:r>
      <w:proofErr w:type="spellEnd"/>
      <w:r w:rsidRPr="000B45AA">
        <w:t xml:space="preserve"> G, </w:t>
      </w:r>
      <w:proofErr w:type="spellStart"/>
      <w:r w:rsidRPr="000B45AA">
        <w:t>Cecchetti</w:t>
      </w:r>
      <w:proofErr w:type="spellEnd"/>
      <w:r w:rsidRPr="000B45AA">
        <w:t xml:space="preserve"> F, </w:t>
      </w:r>
      <w:proofErr w:type="spellStart"/>
      <w:r w:rsidRPr="000B45AA">
        <w:t>Pujia</w:t>
      </w:r>
      <w:proofErr w:type="spellEnd"/>
      <w:r w:rsidRPr="000B45AA">
        <w:t xml:space="preserve"> A, </w:t>
      </w:r>
      <w:proofErr w:type="spellStart"/>
      <w:r w:rsidRPr="000B45AA">
        <w:t>Giancotti</w:t>
      </w:r>
      <w:proofErr w:type="spellEnd"/>
      <w:r w:rsidRPr="000B45AA">
        <w:t xml:space="preserve"> A. Supernumerary teeth diagnosis and treatment approach. Six case reports. </w:t>
      </w:r>
      <w:proofErr w:type="spellStart"/>
      <w:r w:rsidRPr="000B45AA">
        <w:t>Minereva</w:t>
      </w:r>
      <w:proofErr w:type="spellEnd"/>
      <w:r w:rsidRPr="000B45AA">
        <w:t xml:space="preserve"> </w:t>
      </w:r>
      <w:proofErr w:type="spellStart"/>
      <w:r w:rsidRPr="000B45AA">
        <w:t>Stomatol</w:t>
      </w:r>
      <w:proofErr w:type="spellEnd"/>
      <w:r w:rsidRPr="000B45AA">
        <w:t xml:space="preserve"> 2002; 51:501-72.</w:t>
      </w:r>
    </w:p>
    <w:p w:rsidR="00FE691A" w:rsidRPr="000B45AA" w:rsidRDefault="00FE691A" w:rsidP="007E6823">
      <w:pPr>
        <w:numPr>
          <w:ilvl w:val="0"/>
          <w:numId w:val="9"/>
        </w:numPr>
        <w:spacing w:before="60" w:line="480" w:lineRule="auto"/>
        <w:jc w:val="both"/>
      </w:pPr>
      <w:r w:rsidRPr="000B45AA">
        <w:t xml:space="preserve">Duffy MT. Multiple impacted supernumerary teeth. Oral </w:t>
      </w:r>
      <w:proofErr w:type="spellStart"/>
      <w:r w:rsidRPr="000B45AA">
        <w:t>Surg</w:t>
      </w:r>
      <w:proofErr w:type="spellEnd"/>
      <w:r w:rsidRPr="000B45AA">
        <w:t xml:space="preserve"> Oral Med Oral </w:t>
      </w:r>
      <w:proofErr w:type="spellStart"/>
      <w:r w:rsidRPr="000B45AA">
        <w:t>Pathol</w:t>
      </w:r>
      <w:proofErr w:type="spellEnd"/>
      <w:r w:rsidRPr="000B45AA">
        <w:t xml:space="preserve"> 1973; 35:433-4.</w:t>
      </w:r>
    </w:p>
    <w:p w:rsidR="00FE691A" w:rsidRPr="000B45AA" w:rsidRDefault="00FE691A" w:rsidP="007E6823">
      <w:pPr>
        <w:numPr>
          <w:ilvl w:val="0"/>
          <w:numId w:val="9"/>
        </w:numPr>
        <w:spacing w:before="60" w:line="480" w:lineRule="auto"/>
        <w:jc w:val="both"/>
      </w:pPr>
      <w:r w:rsidRPr="000B45AA">
        <w:t xml:space="preserve">Sharma A. A rare non syndrome case of concomitant multiple supernumerary teeth and partial </w:t>
      </w:r>
      <w:proofErr w:type="spellStart"/>
      <w:r w:rsidRPr="000B45AA">
        <w:t>anodontia</w:t>
      </w:r>
      <w:proofErr w:type="spellEnd"/>
      <w:r w:rsidRPr="000B45AA">
        <w:t xml:space="preserve">. J </w:t>
      </w:r>
      <w:proofErr w:type="spellStart"/>
      <w:r w:rsidRPr="000B45AA">
        <w:t>Clin</w:t>
      </w:r>
      <w:proofErr w:type="spellEnd"/>
      <w:r w:rsidRPr="000B45AA">
        <w:t xml:space="preserve"> </w:t>
      </w:r>
      <w:proofErr w:type="spellStart"/>
      <w:r w:rsidRPr="000B45AA">
        <w:t>Pediatr</w:t>
      </w:r>
      <w:proofErr w:type="spellEnd"/>
      <w:r w:rsidRPr="000B45AA">
        <w:t xml:space="preserve"> Dent 2001; 25:167-9.</w:t>
      </w:r>
    </w:p>
    <w:p w:rsidR="00E70CDB" w:rsidRPr="000B45AA" w:rsidRDefault="00E70CDB" w:rsidP="007E6823">
      <w:pPr>
        <w:numPr>
          <w:ilvl w:val="0"/>
          <w:numId w:val="9"/>
        </w:numPr>
        <w:spacing w:before="60" w:line="480" w:lineRule="auto"/>
        <w:jc w:val="both"/>
      </w:pPr>
      <w:r w:rsidRPr="000B45AA">
        <w:t xml:space="preserve">Desai RS, Shah NP. Multiple supernumerary teeth in two brothers: a case report. J oral </w:t>
      </w:r>
      <w:proofErr w:type="spellStart"/>
      <w:r w:rsidRPr="000B45AA">
        <w:t>Pathol</w:t>
      </w:r>
      <w:proofErr w:type="spellEnd"/>
      <w:r w:rsidRPr="000B45AA">
        <w:t xml:space="preserve"> Med 1998; 27:411-3.</w:t>
      </w:r>
    </w:p>
    <w:p w:rsidR="00E70CDB" w:rsidRPr="000B45AA" w:rsidRDefault="00F1215C" w:rsidP="007E6823">
      <w:pPr>
        <w:numPr>
          <w:ilvl w:val="0"/>
          <w:numId w:val="9"/>
        </w:numPr>
        <w:spacing w:before="60" w:line="480" w:lineRule="auto"/>
        <w:jc w:val="both"/>
      </w:pPr>
      <w:proofErr w:type="spellStart"/>
      <w:r w:rsidRPr="000B45AA">
        <w:t>Mercuri</w:t>
      </w:r>
      <w:proofErr w:type="spellEnd"/>
      <w:r w:rsidRPr="000B45AA">
        <w:t xml:space="preserve"> LG, O’Neill R. Multiple impacted supernumerary teeth. Oral </w:t>
      </w:r>
      <w:proofErr w:type="spellStart"/>
      <w:r w:rsidRPr="000B45AA">
        <w:t>Surg</w:t>
      </w:r>
      <w:proofErr w:type="spellEnd"/>
      <w:r w:rsidRPr="000B45AA">
        <w:t xml:space="preserve"> Oral Med Oral </w:t>
      </w:r>
      <w:proofErr w:type="spellStart"/>
      <w:r w:rsidRPr="000B45AA">
        <w:t>Pathol</w:t>
      </w:r>
      <w:proofErr w:type="spellEnd"/>
      <w:r w:rsidRPr="000B45AA">
        <w:t xml:space="preserve"> 1980</w:t>
      </w:r>
      <w:proofErr w:type="gramStart"/>
      <w:r w:rsidRPr="000B45AA">
        <w:t>;50:293</w:t>
      </w:r>
      <w:proofErr w:type="gramEnd"/>
      <w:r w:rsidRPr="000B45AA">
        <w:t>.</w:t>
      </w:r>
    </w:p>
    <w:p w:rsidR="00C40CFB" w:rsidRPr="000B45AA" w:rsidRDefault="007176D1" w:rsidP="007E6823">
      <w:pPr>
        <w:numPr>
          <w:ilvl w:val="0"/>
          <w:numId w:val="9"/>
        </w:numPr>
        <w:spacing w:before="60" w:line="480" w:lineRule="auto"/>
        <w:jc w:val="both"/>
      </w:pPr>
      <w:proofErr w:type="spellStart"/>
      <w:r w:rsidRPr="000B45AA">
        <w:t>Rizutti</w:t>
      </w:r>
      <w:proofErr w:type="spellEnd"/>
      <w:r w:rsidR="00C40CFB" w:rsidRPr="000B45AA">
        <w:t xml:space="preserve"> N, </w:t>
      </w:r>
      <w:proofErr w:type="spellStart"/>
      <w:r w:rsidR="00C40CFB" w:rsidRPr="000B45AA">
        <w:t>Scotti</w:t>
      </w:r>
      <w:proofErr w:type="spellEnd"/>
      <w:r w:rsidR="00C40CFB" w:rsidRPr="000B45AA">
        <w:t xml:space="preserve"> S. A case of </w:t>
      </w:r>
      <w:proofErr w:type="spellStart"/>
      <w:r w:rsidR="00C40CFB" w:rsidRPr="000B45AA">
        <w:t>hyperdontia</w:t>
      </w:r>
      <w:proofErr w:type="spellEnd"/>
      <w:r w:rsidR="00C40CFB" w:rsidRPr="000B45AA">
        <w:t xml:space="preserve"> with twenty two supernumeraries: Its surgical-orthodontic treatment. Am J </w:t>
      </w:r>
      <w:proofErr w:type="spellStart"/>
      <w:r w:rsidR="00C40CFB" w:rsidRPr="000B45AA">
        <w:t>Orthod</w:t>
      </w:r>
      <w:proofErr w:type="spellEnd"/>
      <w:r w:rsidR="00C40CFB" w:rsidRPr="000B45AA">
        <w:t xml:space="preserve"> </w:t>
      </w:r>
      <w:proofErr w:type="spellStart"/>
      <w:r w:rsidR="00C40CFB" w:rsidRPr="000B45AA">
        <w:t>Dentofacial</w:t>
      </w:r>
      <w:proofErr w:type="spellEnd"/>
      <w:r w:rsidR="00C40CFB" w:rsidRPr="000B45AA">
        <w:t xml:space="preserve"> </w:t>
      </w:r>
      <w:proofErr w:type="spellStart"/>
      <w:r w:rsidR="00C40CFB" w:rsidRPr="000B45AA">
        <w:t>Orthop</w:t>
      </w:r>
      <w:proofErr w:type="spellEnd"/>
      <w:r w:rsidR="00C40CFB" w:rsidRPr="000B45AA">
        <w:t xml:space="preserve"> 1997</w:t>
      </w:r>
      <w:proofErr w:type="gramStart"/>
      <w:r w:rsidR="00C40CFB" w:rsidRPr="000B45AA">
        <w:t>;111:471</w:t>
      </w:r>
      <w:proofErr w:type="gramEnd"/>
      <w:r w:rsidR="00C40CFB" w:rsidRPr="000B45AA">
        <w:t>-480.</w:t>
      </w:r>
    </w:p>
    <w:p w:rsidR="006F1731" w:rsidRPr="000B45AA" w:rsidRDefault="006F1731" w:rsidP="007E6823">
      <w:pPr>
        <w:numPr>
          <w:ilvl w:val="0"/>
          <w:numId w:val="9"/>
        </w:numPr>
        <w:spacing w:before="60" w:line="480" w:lineRule="auto"/>
        <w:jc w:val="both"/>
      </w:pPr>
      <w:r w:rsidRPr="000B45AA">
        <w:t xml:space="preserve">Mason C, Rule DC, Hopper C. Multiple supernumeraries: the importance of clinical and radiographic follow-up. </w:t>
      </w:r>
      <w:proofErr w:type="spellStart"/>
      <w:r w:rsidRPr="000B45AA">
        <w:t>Dentomaxillofac</w:t>
      </w:r>
      <w:proofErr w:type="spellEnd"/>
      <w:r w:rsidRPr="000B45AA">
        <w:t xml:space="preserve"> Radio 1996. 25:109-13.</w:t>
      </w:r>
    </w:p>
    <w:p w:rsidR="00E63CBC" w:rsidRPr="000B45AA" w:rsidRDefault="00E63CBC" w:rsidP="007E6823">
      <w:pPr>
        <w:numPr>
          <w:ilvl w:val="0"/>
          <w:numId w:val="9"/>
        </w:numPr>
        <w:spacing w:before="60" w:line="480" w:lineRule="auto"/>
        <w:jc w:val="both"/>
      </w:pPr>
      <w:proofErr w:type="spellStart"/>
      <w:r w:rsidRPr="000B45AA">
        <w:t>Hopcraft</w:t>
      </w:r>
      <w:proofErr w:type="spellEnd"/>
      <w:r w:rsidRPr="000B45AA">
        <w:t xml:space="preserve"> M. Multiple S</w:t>
      </w:r>
      <w:r w:rsidR="00162879" w:rsidRPr="000B45AA">
        <w:t>upernumerary teeth. Case Report</w:t>
      </w:r>
      <w:r w:rsidRPr="000B45AA">
        <w:t>.</w:t>
      </w:r>
      <w:r w:rsidR="00162879" w:rsidRPr="000B45AA">
        <w:t xml:space="preserve"> </w:t>
      </w:r>
      <w:r w:rsidRPr="000B45AA">
        <w:t xml:space="preserve"> </w:t>
      </w:r>
      <w:proofErr w:type="spellStart"/>
      <w:r w:rsidR="007176D1" w:rsidRPr="000B45AA">
        <w:t>Aust</w:t>
      </w:r>
      <w:proofErr w:type="spellEnd"/>
      <w:r w:rsidR="007176D1" w:rsidRPr="000B45AA">
        <w:t xml:space="preserve"> Dent J 1998; 43:17-9</w:t>
      </w:r>
    </w:p>
    <w:p w:rsidR="002A4D36" w:rsidRPr="000B45AA" w:rsidRDefault="00534707" w:rsidP="007E6823">
      <w:pPr>
        <w:numPr>
          <w:ilvl w:val="0"/>
          <w:numId w:val="9"/>
        </w:numPr>
        <w:spacing w:before="60" w:line="480" w:lineRule="auto"/>
        <w:jc w:val="both"/>
      </w:pPr>
      <w:r w:rsidRPr="000B45AA">
        <w:t xml:space="preserve">King NM, Lee AM, Wan PK. Multiple supernumerary premolars: their occurrences in 3 patients. </w:t>
      </w:r>
      <w:proofErr w:type="spellStart"/>
      <w:r w:rsidR="00162879" w:rsidRPr="000B45AA">
        <w:t>Aust</w:t>
      </w:r>
      <w:proofErr w:type="spellEnd"/>
      <w:r w:rsidR="00162879" w:rsidRPr="000B45AA">
        <w:t xml:space="preserve"> Dent J </w:t>
      </w:r>
      <w:r w:rsidRPr="000B45AA">
        <w:t>1993; 38. 11-6.</w:t>
      </w:r>
    </w:p>
    <w:p w:rsidR="002A4D36" w:rsidRPr="000B45AA" w:rsidRDefault="002A4D36" w:rsidP="007E6823">
      <w:pPr>
        <w:numPr>
          <w:ilvl w:val="0"/>
          <w:numId w:val="9"/>
        </w:numPr>
        <w:spacing w:before="60" w:line="480" w:lineRule="auto"/>
        <w:jc w:val="both"/>
      </w:pPr>
      <w:proofErr w:type="spellStart"/>
      <w:r w:rsidRPr="000B45AA">
        <w:t>Reichart</w:t>
      </w:r>
      <w:proofErr w:type="spellEnd"/>
      <w:r w:rsidRPr="000B45AA">
        <w:t xml:space="preserve"> PA. Duplication of all permanent premolars. Oral </w:t>
      </w:r>
      <w:proofErr w:type="spellStart"/>
      <w:r w:rsidRPr="000B45AA">
        <w:t>Surg</w:t>
      </w:r>
      <w:proofErr w:type="spellEnd"/>
      <w:r w:rsidRPr="000B45AA">
        <w:t xml:space="preserve"> Oral Med Oral </w:t>
      </w:r>
      <w:proofErr w:type="spellStart"/>
      <w:r w:rsidRPr="000B45AA">
        <w:t>Pathol</w:t>
      </w:r>
      <w:proofErr w:type="spellEnd"/>
      <w:r w:rsidRPr="000B45AA">
        <w:t xml:space="preserve"> 1982; 53,437.</w:t>
      </w:r>
    </w:p>
    <w:p w:rsidR="002A4D36" w:rsidRPr="000B45AA" w:rsidRDefault="002A4D36" w:rsidP="007E6823">
      <w:pPr>
        <w:numPr>
          <w:ilvl w:val="0"/>
          <w:numId w:val="9"/>
        </w:numPr>
        <w:spacing w:before="60" w:line="480" w:lineRule="auto"/>
        <w:jc w:val="both"/>
      </w:pPr>
      <w:proofErr w:type="spellStart"/>
      <w:r w:rsidRPr="000B45AA">
        <w:rPr>
          <w:shd w:val="clear" w:color="auto" w:fill="FFFFFF"/>
        </w:rPr>
        <w:lastRenderedPageBreak/>
        <w:t>Yucel</w:t>
      </w:r>
      <w:proofErr w:type="spellEnd"/>
      <w:r w:rsidRPr="000B45AA">
        <w:rPr>
          <w:shd w:val="clear" w:color="auto" w:fill="FFFFFF"/>
        </w:rPr>
        <w:t xml:space="preserve"> E. Multiple supplemental premolars.</w:t>
      </w:r>
      <w:r w:rsidRPr="000B45AA">
        <w:rPr>
          <w:rStyle w:val="apple-converted-space"/>
          <w:shd w:val="clear" w:color="auto" w:fill="FFFFFF"/>
        </w:rPr>
        <w:t> </w:t>
      </w:r>
      <w:r w:rsidRPr="000B45AA">
        <w:rPr>
          <w:rStyle w:val="cit-source"/>
          <w:iCs/>
          <w:bdr w:val="none" w:sz="0" w:space="0" w:color="auto" w:frame="1"/>
          <w:shd w:val="clear" w:color="auto" w:fill="FFFFFF"/>
        </w:rPr>
        <w:t xml:space="preserve">Oral </w:t>
      </w:r>
      <w:proofErr w:type="spellStart"/>
      <w:r w:rsidRPr="000B45AA">
        <w:rPr>
          <w:rStyle w:val="cit-source"/>
          <w:iCs/>
          <w:bdr w:val="none" w:sz="0" w:space="0" w:color="auto" w:frame="1"/>
          <w:shd w:val="clear" w:color="auto" w:fill="FFFFFF"/>
        </w:rPr>
        <w:t>Surg</w:t>
      </w:r>
      <w:proofErr w:type="spellEnd"/>
      <w:r w:rsidRPr="000B45AA">
        <w:rPr>
          <w:rStyle w:val="cit-source"/>
          <w:iCs/>
          <w:bdr w:val="none" w:sz="0" w:space="0" w:color="auto" w:frame="1"/>
          <w:shd w:val="clear" w:color="auto" w:fill="FFFFFF"/>
        </w:rPr>
        <w:t xml:space="preserve"> Oral Med Oral </w:t>
      </w:r>
      <w:proofErr w:type="spellStart"/>
      <w:r w:rsidRPr="000B45AA">
        <w:rPr>
          <w:rStyle w:val="cit-source"/>
          <w:iCs/>
          <w:bdr w:val="none" w:sz="0" w:space="0" w:color="auto" w:frame="1"/>
          <w:shd w:val="clear" w:color="auto" w:fill="FFFFFF"/>
        </w:rPr>
        <w:t>Pathol</w:t>
      </w:r>
      <w:proofErr w:type="spellEnd"/>
      <w:r w:rsidRPr="000B45AA">
        <w:rPr>
          <w:rStyle w:val="cit-source"/>
          <w:iCs/>
          <w:bdr w:val="none" w:sz="0" w:space="0" w:color="auto" w:frame="1"/>
          <w:shd w:val="clear" w:color="auto" w:fill="FFFFFF"/>
        </w:rPr>
        <w:t xml:space="preserve"> </w:t>
      </w:r>
      <w:r w:rsidRPr="000B45AA">
        <w:rPr>
          <w:rStyle w:val="cit-pub-date"/>
          <w:bdr w:val="none" w:sz="0" w:space="0" w:color="auto" w:frame="1"/>
          <w:shd w:val="clear" w:color="auto" w:fill="FFFFFF"/>
        </w:rPr>
        <w:t>1992</w:t>
      </w:r>
      <w:r w:rsidRPr="000B45AA">
        <w:rPr>
          <w:shd w:val="clear" w:color="auto" w:fill="FFFFFF"/>
        </w:rPr>
        <w:t>;</w:t>
      </w:r>
      <w:r w:rsidRPr="000B45AA">
        <w:rPr>
          <w:rStyle w:val="apple-converted-space"/>
          <w:shd w:val="clear" w:color="auto" w:fill="FFFFFF"/>
        </w:rPr>
        <w:t> </w:t>
      </w:r>
      <w:r w:rsidRPr="000B45AA">
        <w:rPr>
          <w:rStyle w:val="cit-vol"/>
          <w:bCs/>
          <w:bdr w:val="none" w:sz="0" w:space="0" w:color="auto" w:frame="1"/>
          <w:shd w:val="clear" w:color="auto" w:fill="FFFFFF"/>
        </w:rPr>
        <w:t>74</w:t>
      </w:r>
      <w:r w:rsidRPr="000B45AA">
        <w:rPr>
          <w:shd w:val="clear" w:color="auto" w:fill="FFFFFF"/>
        </w:rPr>
        <w:t>:</w:t>
      </w:r>
      <w:r w:rsidRPr="000B45AA">
        <w:rPr>
          <w:rStyle w:val="apple-converted-space"/>
          <w:shd w:val="clear" w:color="auto" w:fill="FFFFFF"/>
        </w:rPr>
        <w:t> </w:t>
      </w:r>
      <w:r w:rsidRPr="000B45AA">
        <w:rPr>
          <w:rStyle w:val="cit-fpage"/>
          <w:bdr w:val="none" w:sz="0" w:space="0" w:color="auto" w:frame="1"/>
          <w:shd w:val="clear" w:color="auto" w:fill="FFFFFF"/>
        </w:rPr>
        <w:t>384</w:t>
      </w:r>
      <w:r w:rsidRPr="000B45AA">
        <w:rPr>
          <w:shd w:val="clear" w:color="auto" w:fill="FFFFFF"/>
        </w:rPr>
        <w:t>.</w:t>
      </w:r>
    </w:p>
    <w:p w:rsidR="00586B16" w:rsidRPr="000B45AA" w:rsidRDefault="00586B16" w:rsidP="007E6823">
      <w:pPr>
        <w:numPr>
          <w:ilvl w:val="0"/>
          <w:numId w:val="9"/>
        </w:numPr>
        <w:spacing w:before="60" w:line="480" w:lineRule="auto"/>
        <w:jc w:val="both"/>
        <w:rPr>
          <w:rStyle w:val="cit-source"/>
        </w:rPr>
      </w:pPr>
      <w:r w:rsidRPr="000B45AA">
        <w:rPr>
          <w:shd w:val="clear" w:color="auto" w:fill="FFFFFF"/>
        </w:rPr>
        <w:t xml:space="preserve">Fitzgerald </w:t>
      </w:r>
      <w:proofErr w:type="gramStart"/>
      <w:r w:rsidRPr="000B45AA">
        <w:rPr>
          <w:shd w:val="clear" w:color="auto" w:fill="FFFFFF"/>
        </w:rPr>
        <w:t>BE</w:t>
      </w:r>
      <w:proofErr w:type="gramEnd"/>
      <w:r w:rsidRPr="000B45AA">
        <w:rPr>
          <w:shd w:val="clear" w:color="auto" w:fill="FFFFFF"/>
        </w:rPr>
        <w:t xml:space="preserve">, </w:t>
      </w:r>
      <w:proofErr w:type="spellStart"/>
      <w:r w:rsidRPr="000B45AA">
        <w:rPr>
          <w:shd w:val="clear" w:color="auto" w:fill="FFFFFF"/>
        </w:rPr>
        <w:t>Zallen</w:t>
      </w:r>
      <w:proofErr w:type="spellEnd"/>
      <w:r w:rsidRPr="000B45AA">
        <w:rPr>
          <w:shd w:val="clear" w:color="auto" w:fill="FFFFFF"/>
        </w:rPr>
        <w:t xml:space="preserve"> RD. </w:t>
      </w:r>
      <w:r w:rsidR="008E3375" w:rsidRPr="000B45AA">
        <w:rPr>
          <w:shd w:val="clear" w:color="auto" w:fill="FFFFFF"/>
        </w:rPr>
        <w:t xml:space="preserve">Multiple impacted supernumerary teeth. </w:t>
      </w:r>
      <w:r w:rsidR="008E3375" w:rsidRPr="000B45AA">
        <w:rPr>
          <w:rStyle w:val="cit-source"/>
          <w:iCs/>
          <w:bdr w:val="none" w:sz="0" w:space="0" w:color="auto" w:frame="1"/>
          <w:shd w:val="clear" w:color="auto" w:fill="FFFFFF"/>
        </w:rPr>
        <w:t xml:space="preserve">Oral </w:t>
      </w:r>
      <w:proofErr w:type="spellStart"/>
      <w:r w:rsidR="008E3375" w:rsidRPr="000B45AA">
        <w:rPr>
          <w:rStyle w:val="cit-source"/>
          <w:iCs/>
          <w:bdr w:val="none" w:sz="0" w:space="0" w:color="auto" w:frame="1"/>
          <w:shd w:val="clear" w:color="auto" w:fill="FFFFFF"/>
        </w:rPr>
        <w:t>Surg</w:t>
      </w:r>
      <w:proofErr w:type="spellEnd"/>
      <w:r w:rsidR="008E3375" w:rsidRPr="000B45AA">
        <w:rPr>
          <w:rStyle w:val="cit-source"/>
          <w:iCs/>
          <w:bdr w:val="none" w:sz="0" w:space="0" w:color="auto" w:frame="1"/>
          <w:shd w:val="clear" w:color="auto" w:fill="FFFFFF"/>
        </w:rPr>
        <w:t xml:space="preserve"> Oral Med Oral </w:t>
      </w:r>
      <w:proofErr w:type="spellStart"/>
      <w:r w:rsidR="008E3375" w:rsidRPr="000B45AA">
        <w:rPr>
          <w:rStyle w:val="cit-source"/>
          <w:iCs/>
          <w:bdr w:val="none" w:sz="0" w:space="0" w:color="auto" w:frame="1"/>
          <w:shd w:val="clear" w:color="auto" w:fill="FFFFFF"/>
        </w:rPr>
        <w:t>Pathol</w:t>
      </w:r>
      <w:proofErr w:type="spellEnd"/>
      <w:r w:rsidR="008E3375" w:rsidRPr="000B45AA">
        <w:rPr>
          <w:rStyle w:val="cit-source"/>
          <w:iCs/>
          <w:bdr w:val="none" w:sz="0" w:space="0" w:color="auto" w:frame="1"/>
          <w:shd w:val="clear" w:color="auto" w:fill="FFFFFF"/>
        </w:rPr>
        <w:t xml:space="preserve"> 1978; 46:733.</w:t>
      </w:r>
    </w:p>
    <w:p w:rsidR="006B2C2A" w:rsidRPr="000B45AA" w:rsidRDefault="003F6AD6" w:rsidP="007E6823">
      <w:pPr>
        <w:numPr>
          <w:ilvl w:val="0"/>
          <w:numId w:val="9"/>
        </w:numPr>
        <w:spacing w:before="60" w:line="480" w:lineRule="auto"/>
        <w:jc w:val="both"/>
        <w:rPr>
          <w:rStyle w:val="cit-source"/>
        </w:rPr>
      </w:pPr>
      <w:r w:rsidRPr="000B45AA">
        <w:rPr>
          <w:rStyle w:val="cit-source"/>
          <w:iCs/>
          <w:bdr w:val="none" w:sz="0" w:space="0" w:color="auto" w:frame="1"/>
          <w:shd w:val="clear" w:color="auto" w:fill="FFFFFF"/>
        </w:rPr>
        <w:t xml:space="preserve">Acton CH. Multiple Supernumerary teeth and possible implications. </w:t>
      </w:r>
      <w:proofErr w:type="spellStart"/>
      <w:r w:rsidRPr="000B45AA">
        <w:rPr>
          <w:rStyle w:val="cit-source"/>
          <w:iCs/>
          <w:bdr w:val="none" w:sz="0" w:space="0" w:color="auto" w:frame="1"/>
          <w:shd w:val="clear" w:color="auto" w:fill="FFFFFF"/>
        </w:rPr>
        <w:t>Aust</w:t>
      </w:r>
      <w:proofErr w:type="spellEnd"/>
      <w:r w:rsidRPr="000B45AA">
        <w:rPr>
          <w:rStyle w:val="cit-source"/>
          <w:iCs/>
          <w:bdr w:val="none" w:sz="0" w:space="0" w:color="auto" w:frame="1"/>
          <w:shd w:val="clear" w:color="auto" w:fill="FFFFFF"/>
        </w:rPr>
        <w:t xml:space="preserve"> Dent J 1987; 32:48-9.</w:t>
      </w:r>
    </w:p>
    <w:p w:rsidR="003F6AD6" w:rsidRPr="000B45AA" w:rsidRDefault="003F6AD6" w:rsidP="007E6823">
      <w:pPr>
        <w:numPr>
          <w:ilvl w:val="0"/>
          <w:numId w:val="9"/>
        </w:numPr>
        <w:spacing w:before="60" w:line="480" w:lineRule="auto"/>
        <w:jc w:val="both"/>
      </w:pPr>
      <w:r w:rsidRPr="000B45AA">
        <w:rPr>
          <w:rStyle w:val="cit-source"/>
          <w:iCs/>
          <w:bdr w:val="none" w:sz="0" w:space="0" w:color="auto" w:frame="1"/>
          <w:shd w:val="clear" w:color="auto" w:fill="FFFFFF"/>
        </w:rPr>
        <w:t xml:space="preserve">Leslie JC. Multiple supernumerary teeth. </w:t>
      </w:r>
      <w:r w:rsidRPr="000B45AA">
        <w:t xml:space="preserve">Oral </w:t>
      </w:r>
      <w:proofErr w:type="spellStart"/>
      <w:r w:rsidRPr="000B45AA">
        <w:t>Surg</w:t>
      </w:r>
      <w:proofErr w:type="spellEnd"/>
      <w:r w:rsidRPr="000B45AA">
        <w:t xml:space="preserve"> Oral Med Oral </w:t>
      </w:r>
      <w:proofErr w:type="spellStart"/>
      <w:r w:rsidRPr="000B45AA">
        <w:t>Pathol</w:t>
      </w:r>
      <w:proofErr w:type="spellEnd"/>
      <w:r w:rsidRPr="000B45AA">
        <w:t xml:space="preserve"> 1984; 57:463.</w:t>
      </w:r>
    </w:p>
    <w:p w:rsidR="003F6AD6" w:rsidRPr="000B45AA" w:rsidRDefault="003F6AD6" w:rsidP="007E6823">
      <w:pPr>
        <w:numPr>
          <w:ilvl w:val="0"/>
          <w:numId w:val="9"/>
        </w:numPr>
        <w:spacing w:before="60" w:line="480" w:lineRule="auto"/>
        <w:jc w:val="both"/>
      </w:pPr>
      <w:proofErr w:type="spellStart"/>
      <w:r w:rsidRPr="000B45AA">
        <w:t>Rosenthaler</w:t>
      </w:r>
      <w:proofErr w:type="spellEnd"/>
      <w:r w:rsidRPr="000B45AA">
        <w:t xml:space="preserve"> H, </w:t>
      </w:r>
      <w:proofErr w:type="spellStart"/>
      <w:r w:rsidRPr="000B45AA">
        <w:t>Beideman</w:t>
      </w:r>
      <w:proofErr w:type="spellEnd"/>
      <w:r w:rsidRPr="000B45AA">
        <w:t xml:space="preserve"> RW. Multiple supernumerary teeth. Oral </w:t>
      </w:r>
      <w:proofErr w:type="spellStart"/>
      <w:r w:rsidRPr="000B45AA">
        <w:t>Surg</w:t>
      </w:r>
      <w:proofErr w:type="spellEnd"/>
      <w:r w:rsidRPr="000B45AA">
        <w:t xml:space="preserve"> Oral Med Oral </w:t>
      </w:r>
      <w:proofErr w:type="spellStart"/>
      <w:r w:rsidRPr="000B45AA">
        <w:t>Pathol</w:t>
      </w:r>
      <w:proofErr w:type="spellEnd"/>
      <w:r w:rsidRPr="000B45AA">
        <w:t xml:space="preserve"> 1983; 56:227.</w:t>
      </w:r>
    </w:p>
    <w:p w:rsidR="003F6AD6" w:rsidRPr="000B45AA" w:rsidRDefault="003F6AD6" w:rsidP="007E6823">
      <w:pPr>
        <w:numPr>
          <w:ilvl w:val="0"/>
          <w:numId w:val="9"/>
        </w:numPr>
        <w:spacing w:before="60" w:line="480" w:lineRule="auto"/>
        <w:jc w:val="both"/>
      </w:pPr>
      <w:r w:rsidRPr="000B45AA">
        <w:t xml:space="preserve">Stevenson W, </w:t>
      </w:r>
      <w:proofErr w:type="spellStart"/>
      <w:r w:rsidRPr="000B45AA">
        <w:t>Mckechnie</w:t>
      </w:r>
      <w:proofErr w:type="spellEnd"/>
      <w:r w:rsidRPr="000B45AA">
        <w:t xml:space="preserve"> AD. Recurring supernumerary and impacted teeth. </w:t>
      </w:r>
      <w:proofErr w:type="spellStart"/>
      <w:r w:rsidRPr="000B45AA">
        <w:t>Quintesscence</w:t>
      </w:r>
      <w:proofErr w:type="spellEnd"/>
      <w:r w:rsidRPr="000B45AA">
        <w:t xml:space="preserve"> Intl 1980; 11:85-7</w:t>
      </w:r>
    </w:p>
    <w:p w:rsidR="003F6AD6" w:rsidRPr="000B45AA" w:rsidRDefault="003F6AD6" w:rsidP="007E6823">
      <w:pPr>
        <w:numPr>
          <w:ilvl w:val="0"/>
          <w:numId w:val="9"/>
        </w:numPr>
        <w:spacing w:before="60" w:line="480" w:lineRule="auto"/>
        <w:jc w:val="both"/>
      </w:pPr>
      <w:proofErr w:type="spellStart"/>
      <w:r w:rsidRPr="000B45AA">
        <w:t>Shusterman</w:t>
      </w:r>
      <w:proofErr w:type="spellEnd"/>
      <w:r w:rsidRPr="000B45AA">
        <w:t xml:space="preserve"> S,</w:t>
      </w:r>
      <w:r w:rsidR="00BF0F32" w:rsidRPr="000B45AA">
        <w:t xml:space="preserve"> </w:t>
      </w:r>
      <w:r w:rsidRPr="000B45AA">
        <w:t>Hertzberg J,</w:t>
      </w:r>
      <w:r w:rsidR="00BF0F32" w:rsidRPr="000B45AA">
        <w:t xml:space="preserve"> </w:t>
      </w:r>
      <w:proofErr w:type="spellStart"/>
      <w:r w:rsidR="00BF0F32" w:rsidRPr="000B45AA">
        <w:t>Hilzenrath</w:t>
      </w:r>
      <w:proofErr w:type="spellEnd"/>
      <w:r w:rsidR="00BF0F32" w:rsidRPr="000B45AA">
        <w:t xml:space="preserve"> S. </w:t>
      </w:r>
      <w:proofErr w:type="spellStart"/>
      <w:r w:rsidR="00BF0F32" w:rsidRPr="000B45AA">
        <w:t>Miltiple</w:t>
      </w:r>
      <w:proofErr w:type="spellEnd"/>
      <w:r w:rsidR="00BF0F32" w:rsidRPr="000B45AA">
        <w:t xml:space="preserve"> supernumerary teeth: report of 2 cases. ASDC J Dent Child 1978; 45: 469-472.</w:t>
      </w:r>
    </w:p>
    <w:p w:rsidR="00BF0F32" w:rsidRPr="000B45AA" w:rsidRDefault="00BF0F32" w:rsidP="007E6823">
      <w:pPr>
        <w:numPr>
          <w:ilvl w:val="0"/>
          <w:numId w:val="9"/>
        </w:numPr>
        <w:spacing w:before="60" w:line="480" w:lineRule="auto"/>
        <w:jc w:val="both"/>
      </w:pPr>
      <w:r w:rsidRPr="000B45AA">
        <w:t xml:space="preserve"> </w:t>
      </w:r>
      <w:proofErr w:type="spellStart"/>
      <w:r w:rsidRPr="000B45AA">
        <w:t>Folley</w:t>
      </w:r>
      <w:proofErr w:type="spellEnd"/>
      <w:r w:rsidRPr="000B45AA">
        <w:t xml:space="preserve"> MF, </w:t>
      </w:r>
      <w:proofErr w:type="gramStart"/>
      <w:r w:rsidRPr="000B45AA">
        <w:t>del</w:t>
      </w:r>
      <w:proofErr w:type="gramEnd"/>
      <w:r w:rsidRPr="000B45AA">
        <w:t xml:space="preserve"> Rio CE. Supernumerary teeth: report of a case. Oral </w:t>
      </w:r>
      <w:proofErr w:type="spellStart"/>
      <w:r w:rsidRPr="000B45AA">
        <w:t>Surg</w:t>
      </w:r>
      <w:proofErr w:type="spellEnd"/>
      <w:r w:rsidRPr="000B45AA">
        <w:t xml:space="preserve"> 1970; 30:60-3.</w:t>
      </w:r>
    </w:p>
    <w:p w:rsidR="00BF0F32" w:rsidRPr="000B45AA" w:rsidRDefault="00BF0F32" w:rsidP="007E6823">
      <w:pPr>
        <w:numPr>
          <w:ilvl w:val="0"/>
          <w:numId w:val="9"/>
        </w:numPr>
        <w:spacing w:before="60" w:line="480" w:lineRule="auto"/>
        <w:jc w:val="both"/>
      </w:pPr>
      <w:r w:rsidRPr="000B45AA">
        <w:t xml:space="preserve">Stevenson W, </w:t>
      </w:r>
      <w:proofErr w:type="spellStart"/>
      <w:r w:rsidRPr="000B45AA">
        <w:t>Mckechnie</w:t>
      </w:r>
      <w:proofErr w:type="spellEnd"/>
      <w:r w:rsidRPr="000B45AA">
        <w:t xml:space="preserve"> AD. Recurring supernumerary teeth: Report of a case. Oral </w:t>
      </w:r>
      <w:proofErr w:type="spellStart"/>
      <w:r w:rsidRPr="000B45AA">
        <w:t>Surg</w:t>
      </w:r>
      <w:proofErr w:type="spellEnd"/>
      <w:r w:rsidRPr="000B45AA">
        <w:t xml:space="preserve"> Oral Med Oral </w:t>
      </w:r>
      <w:proofErr w:type="spellStart"/>
      <w:r w:rsidRPr="000B45AA">
        <w:t>Pathol</w:t>
      </w:r>
      <w:proofErr w:type="spellEnd"/>
      <w:r w:rsidRPr="000B45AA">
        <w:t xml:space="preserve"> 1975; 40:76-80.</w:t>
      </w:r>
    </w:p>
    <w:p w:rsidR="00BF0F32" w:rsidRPr="000B45AA" w:rsidRDefault="00054A93" w:rsidP="007E6823">
      <w:pPr>
        <w:numPr>
          <w:ilvl w:val="0"/>
          <w:numId w:val="9"/>
        </w:numPr>
        <w:spacing w:before="60" w:line="480" w:lineRule="auto"/>
        <w:jc w:val="both"/>
      </w:pPr>
      <w:r w:rsidRPr="000B45AA">
        <w:t>Barnet</w:t>
      </w:r>
      <w:r w:rsidR="001926C0" w:rsidRPr="000B45AA">
        <w:t xml:space="preserve"> </w:t>
      </w:r>
      <w:r w:rsidRPr="000B45AA">
        <w:t xml:space="preserve">BS. A case of multiple supernumerary premolars. Br J </w:t>
      </w:r>
      <w:proofErr w:type="spellStart"/>
      <w:r w:rsidRPr="000B45AA">
        <w:t>Orthod</w:t>
      </w:r>
      <w:proofErr w:type="spellEnd"/>
      <w:r w:rsidRPr="000B45AA">
        <w:t xml:space="preserve"> 1974; 1: 217-8.</w:t>
      </w:r>
    </w:p>
    <w:p w:rsidR="00054A93" w:rsidRPr="000B45AA" w:rsidRDefault="000D1DB2" w:rsidP="007E6823">
      <w:pPr>
        <w:numPr>
          <w:ilvl w:val="0"/>
          <w:numId w:val="9"/>
        </w:numPr>
        <w:spacing w:before="60" w:line="480" w:lineRule="auto"/>
        <w:jc w:val="both"/>
      </w:pPr>
      <w:proofErr w:type="spellStart"/>
      <w:r w:rsidRPr="000B45AA">
        <w:t>Finkel</w:t>
      </w:r>
      <w:proofErr w:type="spellEnd"/>
      <w:r w:rsidRPr="000B45AA">
        <w:t xml:space="preserve"> </w:t>
      </w:r>
      <w:proofErr w:type="spellStart"/>
      <w:r w:rsidRPr="000B45AA">
        <w:t>AN</w:t>
      </w:r>
      <w:proofErr w:type="gramStart"/>
      <w:r w:rsidRPr="000B45AA">
        <w:t>,Solondz</w:t>
      </w:r>
      <w:proofErr w:type="spellEnd"/>
      <w:proofErr w:type="gramEnd"/>
      <w:r w:rsidRPr="000B45AA">
        <w:t xml:space="preserve"> G, Friedman J. Multiple supernumerary and impacted teeth. Oral </w:t>
      </w:r>
      <w:proofErr w:type="spellStart"/>
      <w:r w:rsidRPr="000B45AA">
        <w:t>Surg</w:t>
      </w:r>
      <w:proofErr w:type="spellEnd"/>
      <w:r w:rsidRPr="000B45AA">
        <w:t xml:space="preserve"> Oral Med Oral </w:t>
      </w:r>
      <w:proofErr w:type="spellStart"/>
      <w:r w:rsidRPr="000B45AA">
        <w:t>Pathol</w:t>
      </w:r>
      <w:proofErr w:type="spellEnd"/>
      <w:r w:rsidRPr="000B45AA">
        <w:t xml:space="preserve"> 1974; 37:976-7.</w:t>
      </w:r>
    </w:p>
    <w:p w:rsidR="00DD236E" w:rsidRPr="000B45AA" w:rsidRDefault="00E0209E" w:rsidP="007E6823">
      <w:pPr>
        <w:numPr>
          <w:ilvl w:val="0"/>
          <w:numId w:val="9"/>
        </w:numPr>
        <w:spacing w:before="60" w:line="480" w:lineRule="auto"/>
        <w:jc w:val="both"/>
      </w:pPr>
      <w:r w:rsidRPr="000B45AA">
        <w:t xml:space="preserve">Yusuf WZ, </w:t>
      </w:r>
      <w:proofErr w:type="spellStart"/>
      <w:r w:rsidRPr="000B45AA">
        <w:t>Awang</w:t>
      </w:r>
      <w:proofErr w:type="spellEnd"/>
      <w:r w:rsidRPr="000B45AA">
        <w:t xml:space="preserve"> MN. Multiple impacted supernumerary teeth. Oral </w:t>
      </w:r>
      <w:proofErr w:type="spellStart"/>
      <w:r w:rsidRPr="000B45AA">
        <w:t>Surg</w:t>
      </w:r>
      <w:proofErr w:type="spellEnd"/>
      <w:r w:rsidRPr="000B45AA">
        <w:t xml:space="preserve"> Oral Med Oral </w:t>
      </w:r>
      <w:proofErr w:type="spellStart"/>
      <w:r w:rsidRPr="000B45AA">
        <w:t>Pathol</w:t>
      </w:r>
      <w:proofErr w:type="spellEnd"/>
      <w:r w:rsidRPr="000B45AA">
        <w:t xml:space="preserve"> 1990; 70:126.</w:t>
      </w:r>
    </w:p>
    <w:p w:rsidR="00C16BB5" w:rsidRPr="000B45AA" w:rsidRDefault="00C16BB5" w:rsidP="007E6823">
      <w:pPr>
        <w:numPr>
          <w:ilvl w:val="0"/>
          <w:numId w:val="9"/>
        </w:numPr>
        <w:spacing w:before="60" w:line="480" w:lineRule="auto"/>
        <w:jc w:val="both"/>
      </w:pPr>
      <w:proofErr w:type="spellStart"/>
      <w:r w:rsidRPr="000B45AA">
        <w:t>Ruhlman</w:t>
      </w:r>
      <w:proofErr w:type="spellEnd"/>
      <w:r w:rsidRPr="000B45AA">
        <w:t xml:space="preserve"> DG, Neely AR. Multiple impacted and erupted supernumerary teeth. Report of a case. Oral </w:t>
      </w:r>
      <w:proofErr w:type="spellStart"/>
      <w:r w:rsidRPr="000B45AA">
        <w:t>Sur</w:t>
      </w:r>
      <w:r w:rsidR="00D07532" w:rsidRPr="000B45AA">
        <w:t>g</w:t>
      </w:r>
      <w:proofErr w:type="spellEnd"/>
      <w:r w:rsidR="00D07532" w:rsidRPr="000B45AA">
        <w:t xml:space="preserve"> Oral Med Oral </w:t>
      </w:r>
      <w:proofErr w:type="spellStart"/>
      <w:r w:rsidR="00D07532" w:rsidRPr="000B45AA">
        <w:t>Pathol</w:t>
      </w:r>
      <w:proofErr w:type="spellEnd"/>
      <w:r w:rsidR="00D07532" w:rsidRPr="000B45AA">
        <w:t xml:space="preserve"> 1964; 17</w:t>
      </w:r>
      <w:r w:rsidRPr="000B45AA">
        <w:t>:</w:t>
      </w:r>
      <w:r w:rsidR="00D07532" w:rsidRPr="000B45AA">
        <w:t xml:space="preserve"> </w:t>
      </w:r>
      <w:r w:rsidRPr="000B45AA">
        <w:t>199-203.</w:t>
      </w:r>
    </w:p>
    <w:p w:rsidR="00FE40BF" w:rsidRPr="000B45AA" w:rsidRDefault="00FE40BF" w:rsidP="007E6823">
      <w:pPr>
        <w:numPr>
          <w:ilvl w:val="0"/>
          <w:numId w:val="9"/>
        </w:numPr>
        <w:spacing w:before="60" w:line="480" w:lineRule="auto"/>
        <w:jc w:val="both"/>
      </w:pPr>
      <w:proofErr w:type="spellStart"/>
      <w:r w:rsidRPr="000B45AA">
        <w:t>Scheiner</w:t>
      </w:r>
      <w:proofErr w:type="spellEnd"/>
      <w:r w:rsidRPr="000B45AA">
        <w:t xml:space="preserve"> MA, Sampson WJ. Supernumerary teeth: a review of the literature and four case reports. </w:t>
      </w:r>
      <w:proofErr w:type="spellStart"/>
      <w:r w:rsidRPr="000B45AA">
        <w:t>Aust</w:t>
      </w:r>
      <w:proofErr w:type="spellEnd"/>
      <w:r w:rsidRPr="000B45AA">
        <w:t xml:space="preserve"> Dent J 1997; 42:</w:t>
      </w:r>
      <w:r w:rsidR="00D07532" w:rsidRPr="000B45AA">
        <w:t xml:space="preserve"> </w:t>
      </w:r>
      <w:r w:rsidRPr="000B45AA">
        <w:t>160-5.</w:t>
      </w:r>
    </w:p>
    <w:p w:rsidR="00887A2A" w:rsidRPr="000B45AA" w:rsidRDefault="00C822E3" w:rsidP="007E6823">
      <w:pPr>
        <w:numPr>
          <w:ilvl w:val="0"/>
          <w:numId w:val="9"/>
        </w:numPr>
        <w:spacing w:before="60" w:line="480" w:lineRule="auto"/>
        <w:jc w:val="both"/>
      </w:pPr>
      <w:proofErr w:type="spellStart"/>
      <w:r w:rsidRPr="000B45AA">
        <w:lastRenderedPageBreak/>
        <w:t>Asaumi</w:t>
      </w:r>
      <w:proofErr w:type="spellEnd"/>
      <w:r w:rsidRPr="000B45AA">
        <w:t xml:space="preserve"> JI, </w:t>
      </w:r>
      <w:proofErr w:type="spellStart"/>
      <w:r w:rsidRPr="000B45AA">
        <w:t>Shabita</w:t>
      </w:r>
      <w:proofErr w:type="spellEnd"/>
      <w:r w:rsidRPr="000B45AA">
        <w:t xml:space="preserve"> Y, </w:t>
      </w:r>
      <w:proofErr w:type="spellStart"/>
      <w:r w:rsidRPr="000B45AA">
        <w:t>Yanagi</w:t>
      </w:r>
      <w:proofErr w:type="spellEnd"/>
      <w:r w:rsidRPr="000B45AA">
        <w:t xml:space="preserve"> </w:t>
      </w:r>
      <w:proofErr w:type="spellStart"/>
      <w:r w:rsidRPr="000B45AA">
        <w:t>Y,Hisatomi</w:t>
      </w:r>
      <w:proofErr w:type="spellEnd"/>
      <w:r w:rsidRPr="000B45AA">
        <w:t xml:space="preserve"> M, </w:t>
      </w:r>
      <w:proofErr w:type="spellStart"/>
      <w:r w:rsidRPr="000B45AA">
        <w:t>Matzisami</w:t>
      </w:r>
      <w:proofErr w:type="spellEnd"/>
      <w:r w:rsidRPr="000B45AA">
        <w:t xml:space="preserve"> H, </w:t>
      </w:r>
      <w:proofErr w:type="spellStart"/>
      <w:r w:rsidRPr="000B45AA">
        <w:t>Konoouchi</w:t>
      </w:r>
      <w:proofErr w:type="spellEnd"/>
      <w:r w:rsidRPr="000B45AA">
        <w:t xml:space="preserve"> H et al. Radiographic examination of </w:t>
      </w:r>
      <w:proofErr w:type="spellStart"/>
      <w:r w:rsidRPr="000B45AA">
        <w:t>mesiodens</w:t>
      </w:r>
      <w:proofErr w:type="spellEnd"/>
      <w:r w:rsidRPr="000B45AA">
        <w:t xml:space="preserve"> and their associated complication 2004; 33: 125-7. </w:t>
      </w:r>
    </w:p>
    <w:p w:rsidR="00B21D47" w:rsidRPr="000B45AA" w:rsidRDefault="00B21D47" w:rsidP="007E6823">
      <w:pPr>
        <w:numPr>
          <w:ilvl w:val="0"/>
          <w:numId w:val="9"/>
        </w:numPr>
        <w:spacing w:before="60" w:line="480" w:lineRule="auto"/>
        <w:jc w:val="both"/>
      </w:pPr>
      <w:proofErr w:type="spellStart"/>
      <w:r w:rsidRPr="000B45AA">
        <w:rPr>
          <w:shd w:val="clear" w:color="auto" w:fill="FFFFFF"/>
        </w:rPr>
        <w:t>Kaya</w:t>
      </w:r>
      <w:proofErr w:type="spellEnd"/>
      <w:r w:rsidRPr="000B45AA">
        <w:rPr>
          <w:shd w:val="clear" w:color="auto" w:fill="FFFFFF"/>
        </w:rPr>
        <w:t xml:space="preserve"> GS, </w:t>
      </w:r>
      <w:proofErr w:type="spellStart"/>
      <w:r w:rsidRPr="000B45AA">
        <w:rPr>
          <w:shd w:val="clear" w:color="auto" w:fill="FFFFFF"/>
        </w:rPr>
        <w:t>Yapici</w:t>
      </w:r>
      <w:proofErr w:type="spellEnd"/>
      <w:r w:rsidRPr="000B45AA">
        <w:rPr>
          <w:shd w:val="clear" w:color="auto" w:fill="FFFFFF"/>
        </w:rPr>
        <w:t xml:space="preserve"> G, </w:t>
      </w:r>
      <w:proofErr w:type="spellStart"/>
      <w:r w:rsidRPr="000B45AA">
        <w:rPr>
          <w:shd w:val="clear" w:color="auto" w:fill="FFFFFF"/>
        </w:rPr>
        <w:t>Omezli</w:t>
      </w:r>
      <w:proofErr w:type="spellEnd"/>
      <w:r w:rsidRPr="000B45AA">
        <w:rPr>
          <w:shd w:val="clear" w:color="auto" w:fill="FFFFFF"/>
        </w:rPr>
        <w:t xml:space="preserve"> MM, </w:t>
      </w:r>
      <w:proofErr w:type="spellStart"/>
      <w:r w:rsidRPr="000B45AA">
        <w:rPr>
          <w:shd w:val="clear" w:color="auto" w:fill="FFFFFF"/>
        </w:rPr>
        <w:t>Dayi</w:t>
      </w:r>
      <w:proofErr w:type="spellEnd"/>
      <w:r w:rsidRPr="000B45AA">
        <w:rPr>
          <w:shd w:val="clear" w:color="auto" w:fill="FFFFFF"/>
        </w:rPr>
        <w:t xml:space="preserve"> E. Non-</w:t>
      </w:r>
      <w:proofErr w:type="spellStart"/>
      <w:r w:rsidRPr="000B45AA">
        <w:rPr>
          <w:shd w:val="clear" w:color="auto" w:fill="FFFFFF"/>
        </w:rPr>
        <w:t>syndromic</w:t>
      </w:r>
      <w:proofErr w:type="spellEnd"/>
      <w:r w:rsidRPr="000B45AA">
        <w:rPr>
          <w:shd w:val="clear" w:color="auto" w:fill="FFFFFF"/>
        </w:rPr>
        <w:t xml:space="preserve"> supernumerary premolars.</w:t>
      </w:r>
      <w:r w:rsidRPr="000B45AA">
        <w:rPr>
          <w:rStyle w:val="apple-converted-space"/>
          <w:shd w:val="clear" w:color="auto" w:fill="FFFFFF"/>
        </w:rPr>
        <w:t> </w:t>
      </w:r>
      <w:r w:rsidRPr="000B45AA">
        <w:rPr>
          <w:rStyle w:val="ref-journal"/>
          <w:shd w:val="clear" w:color="auto" w:fill="FFFFFF"/>
        </w:rPr>
        <w:t xml:space="preserve">Med Oral </w:t>
      </w:r>
      <w:proofErr w:type="spellStart"/>
      <w:r w:rsidRPr="000B45AA">
        <w:rPr>
          <w:rStyle w:val="ref-journal"/>
          <w:shd w:val="clear" w:color="auto" w:fill="FFFFFF"/>
        </w:rPr>
        <w:t>Patol</w:t>
      </w:r>
      <w:proofErr w:type="spellEnd"/>
      <w:r w:rsidRPr="000B45AA">
        <w:rPr>
          <w:rStyle w:val="ref-journal"/>
          <w:shd w:val="clear" w:color="auto" w:fill="FFFFFF"/>
        </w:rPr>
        <w:t xml:space="preserve"> Oral Cir </w:t>
      </w:r>
      <w:proofErr w:type="spellStart"/>
      <w:r w:rsidRPr="000B45AA">
        <w:rPr>
          <w:rStyle w:val="ref-journal"/>
          <w:shd w:val="clear" w:color="auto" w:fill="FFFFFF"/>
        </w:rPr>
        <w:t>Bucal</w:t>
      </w:r>
      <w:proofErr w:type="spellEnd"/>
      <w:r w:rsidRPr="000B45AA">
        <w:rPr>
          <w:rStyle w:val="ref-journal"/>
          <w:shd w:val="clear" w:color="auto" w:fill="FFFFFF"/>
        </w:rPr>
        <w:t>.</w:t>
      </w:r>
      <w:r w:rsidRPr="000B45AA">
        <w:rPr>
          <w:rStyle w:val="apple-converted-space"/>
          <w:shd w:val="clear" w:color="auto" w:fill="FFFFFF"/>
        </w:rPr>
        <w:t> </w:t>
      </w:r>
      <w:r w:rsidRPr="000B45AA">
        <w:rPr>
          <w:shd w:val="clear" w:color="auto" w:fill="FFFFFF"/>
        </w:rPr>
        <w:t>2011</w:t>
      </w:r>
      <w:proofErr w:type="gramStart"/>
      <w:r w:rsidRPr="000B45AA">
        <w:rPr>
          <w:shd w:val="clear" w:color="auto" w:fill="FFFFFF"/>
        </w:rPr>
        <w:t>;</w:t>
      </w:r>
      <w:r w:rsidRPr="000B45AA">
        <w:rPr>
          <w:rStyle w:val="ref-vol"/>
          <w:shd w:val="clear" w:color="auto" w:fill="FFFFFF"/>
        </w:rPr>
        <w:t>16</w:t>
      </w:r>
      <w:r w:rsidRPr="000B45AA">
        <w:rPr>
          <w:shd w:val="clear" w:color="auto" w:fill="FFFFFF"/>
        </w:rPr>
        <w:t>:e522</w:t>
      </w:r>
      <w:proofErr w:type="gramEnd"/>
      <w:r w:rsidRPr="000B45AA">
        <w:rPr>
          <w:shd w:val="clear" w:color="auto" w:fill="FFFFFF"/>
        </w:rPr>
        <w:t>–5.</w:t>
      </w:r>
    </w:p>
    <w:p w:rsidR="00D56A17" w:rsidRPr="000B45AA" w:rsidRDefault="00D56A17" w:rsidP="007E6823">
      <w:pPr>
        <w:spacing w:line="480" w:lineRule="auto"/>
        <w:rPr>
          <w:b/>
        </w:rPr>
      </w:pPr>
      <w:r w:rsidRPr="000B45AA">
        <w:rPr>
          <w:b/>
        </w:rPr>
        <w:t>Tables &amp; Charts</w:t>
      </w:r>
    </w:p>
    <w:p w:rsidR="00D56A17" w:rsidRPr="000B45AA" w:rsidRDefault="00D56A17" w:rsidP="007E6823">
      <w:pPr>
        <w:spacing w:line="480" w:lineRule="auto"/>
        <w:rPr>
          <w:b/>
        </w:rPr>
      </w:pPr>
      <w:r w:rsidRPr="000B45AA">
        <w:rPr>
          <w:b/>
        </w:rPr>
        <w:t>Table 1:  Data Set for Supernumerary Teeth</w:t>
      </w:r>
    </w:p>
    <w:tbl>
      <w:tblPr>
        <w:tblW w:w="10628" w:type="dxa"/>
        <w:tblInd w:w="-355" w:type="dxa"/>
        <w:tblLayout w:type="fixed"/>
        <w:tblLook w:val="04A0"/>
      </w:tblPr>
      <w:tblGrid>
        <w:gridCol w:w="1062"/>
        <w:gridCol w:w="1063"/>
        <w:gridCol w:w="1063"/>
        <w:gridCol w:w="1063"/>
        <w:gridCol w:w="1063"/>
        <w:gridCol w:w="1062"/>
        <w:gridCol w:w="1063"/>
        <w:gridCol w:w="1063"/>
        <w:gridCol w:w="1063"/>
        <w:gridCol w:w="1063"/>
      </w:tblGrid>
      <w:tr w:rsidR="0052209F" w:rsidRPr="000B45AA" w:rsidTr="00494AA8">
        <w:trPr>
          <w:trHeight w:val="92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b/>
                <w:bCs/>
                <w:sz w:val="20"/>
                <w:szCs w:val="20"/>
              </w:rPr>
            </w:pPr>
            <w:r w:rsidRPr="000B45AA">
              <w:rPr>
                <w:b/>
                <w:bCs/>
                <w:sz w:val="20"/>
                <w:szCs w:val="20"/>
              </w:rPr>
              <w:t>Author</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b/>
                <w:bCs/>
                <w:sz w:val="20"/>
                <w:szCs w:val="20"/>
              </w:rPr>
            </w:pPr>
            <w:r w:rsidRPr="000B45AA">
              <w:rPr>
                <w:b/>
                <w:bCs/>
                <w:sz w:val="20"/>
                <w:szCs w:val="20"/>
              </w:rPr>
              <w:t>Gender,</w:t>
            </w:r>
            <w:r w:rsidR="000C4A06" w:rsidRPr="000B45AA">
              <w:rPr>
                <w:b/>
                <w:bCs/>
                <w:sz w:val="20"/>
                <w:szCs w:val="20"/>
              </w:rPr>
              <w:t xml:space="preserve"> </w:t>
            </w:r>
            <w:r w:rsidRPr="000B45AA">
              <w:rPr>
                <w:b/>
                <w:bCs/>
                <w:sz w:val="20"/>
                <w:szCs w:val="20"/>
              </w:rPr>
              <w:t>Age</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D56A17" w:rsidRPr="000B45AA" w:rsidRDefault="00D56A17" w:rsidP="007E6823">
            <w:pPr>
              <w:jc w:val="center"/>
              <w:rPr>
                <w:b/>
                <w:bCs/>
                <w:sz w:val="20"/>
                <w:szCs w:val="20"/>
              </w:rPr>
            </w:pPr>
            <w:r w:rsidRPr="000B45AA">
              <w:rPr>
                <w:b/>
                <w:bCs/>
                <w:sz w:val="20"/>
                <w:szCs w:val="20"/>
              </w:rPr>
              <w:t xml:space="preserve">No. of </w:t>
            </w:r>
            <w:r w:rsidRPr="000B45AA">
              <w:rPr>
                <w:b/>
                <w:bCs/>
                <w:sz w:val="20"/>
                <w:szCs w:val="20"/>
              </w:rPr>
              <w:br/>
              <w:t>Teeth</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b/>
                <w:bCs/>
                <w:sz w:val="20"/>
                <w:szCs w:val="20"/>
              </w:rPr>
            </w:pPr>
            <w:r w:rsidRPr="000B45AA">
              <w:rPr>
                <w:b/>
                <w:bCs/>
                <w:sz w:val="20"/>
                <w:szCs w:val="20"/>
              </w:rPr>
              <w:t>Maxilla</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b/>
                <w:bCs/>
                <w:sz w:val="20"/>
                <w:szCs w:val="20"/>
              </w:rPr>
            </w:pPr>
            <w:r w:rsidRPr="000B45AA">
              <w:rPr>
                <w:b/>
                <w:bCs/>
                <w:sz w:val="20"/>
                <w:szCs w:val="20"/>
              </w:rPr>
              <w:t>Mandible</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b/>
                <w:bCs/>
                <w:sz w:val="20"/>
                <w:szCs w:val="20"/>
              </w:rPr>
            </w:pPr>
            <w:r w:rsidRPr="000B45AA">
              <w:rPr>
                <w:b/>
                <w:bCs/>
                <w:sz w:val="20"/>
                <w:szCs w:val="20"/>
              </w:rPr>
              <w:t>Anterior</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D56A17" w:rsidRPr="000B45AA" w:rsidRDefault="00D56A17" w:rsidP="007E6823">
            <w:pPr>
              <w:jc w:val="center"/>
              <w:rPr>
                <w:b/>
                <w:bCs/>
                <w:sz w:val="20"/>
                <w:szCs w:val="20"/>
              </w:rPr>
            </w:pPr>
            <w:r w:rsidRPr="000B45AA">
              <w:rPr>
                <w:b/>
                <w:bCs/>
                <w:sz w:val="20"/>
                <w:szCs w:val="20"/>
              </w:rPr>
              <w:t xml:space="preserve">Premolar / </w:t>
            </w:r>
            <w:r w:rsidRPr="000B45AA">
              <w:rPr>
                <w:b/>
                <w:bCs/>
                <w:sz w:val="20"/>
                <w:szCs w:val="20"/>
              </w:rPr>
              <w:br/>
              <w:t>Bicuspids</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b/>
                <w:bCs/>
                <w:sz w:val="20"/>
                <w:szCs w:val="20"/>
              </w:rPr>
            </w:pPr>
            <w:r w:rsidRPr="000B45AA">
              <w:rPr>
                <w:b/>
                <w:bCs/>
                <w:sz w:val="20"/>
                <w:szCs w:val="20"/>
              </w:rPr>
              <w:t>Molar</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b/>
                <w:bCs/>
                <w:sz w:val="20"/>
                <w:szCs w:val="20"/>
              </w:rPr>
            </w:pPr>
            <w:proofErr w:type="spellStart"/>
            <w:r w:rsidRPr="000B45AA">
              <w:rPr>
                <w:b/>
                <w:bCs/>
                <w:sz w:val="20"/>
                <w:szCs w:val="20"/>
              </w:rPr>
              <w:t>Distomolars</w:t>
            </w:r>
            <w:proofErr w:type="spellEnd"/>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b/>
                <w:bCs/>
                <w:sz w:val="20"/>
                <w:szCs w:val="20"/>
              </w:rPr>
            </w:pPr>
            <w:proofErr w:type="spellStart"/>
            <w:r w:rsidRPr="000B45AA">
              <w:rPr>
                <w:b/>
                <w:bCs/>
                <w:sz w:val="20"/>
                <w:szCs w:val="20"/>
              </w:rPr>
              <w:t>Mesiodens</w:t>
            </w:r>
            <w:proofErr w:type="spellEnd"/>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Priya</w:t>
            </w:r>
            <w:proofErr w:type="spellEnd"/>
            <w:r w:rsidRPr="000B45AA">
              <w:rPr>
                <w:sz w:val="20"/>
                <w:szCs w:val="20"/>
              </w:rPr>
              <w:t xml:space="preserve"> N et al.,2013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F,24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Santosh</w:t>
            </w:r>
            <w:proofErr w:type="spellEnd"/>
            <w:r w:rsidRPr="000B45AA">
              <w:rPr>
                <w:sz w:val="20"/>
                <w:szCs w:val="20"/>
              </w:rPr>
              <w:t xml:space="preserve"> et al.</w:t>
            </w:r>
            <w:r w:rsidRPr="000B45AA">
              <w:rPr>
                <w:sz w:val="20"/>
                <w:szCs w:val="20"/>
                <w:vertAlign w:val="superscript"/>
              </w:rPr>
              <w:t>25</w:t>
            </w:r>
            <w:r w:rsidRPr="000B45AA">
              <w:rPr>
                <w:sz w:val="20"/>
                <w:szCs w:val="20"/>
              </w:rPr>
              <w:t>,2012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M,35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52209F" w:rsidRPr="000B45AA" w:rsidRDefault="00D56A17" w:rsidP="0052209F">
            <w:pPr>
              <w:rPr>
                <w:sz w:val="20"/>
                <w:szCs w:val="20"/>
              </w:rPr>
            </w:pPr>
            <w:proofErr w:type="spellStart"/>
            <w:r w:rsidRPr="000B45AA">
              <w:rPr>
                <w:sz w:val="20"/>
                <w:szCs w:val="20"/>
              </w:rPr>
              <w:t>Ledesma</w:t>
            </w:r>
            <w:proofErr w:type="spellEnd"/>
            <w:r w:rsidRPr="000B45AA">
              <w:rPr>
                <w:sz w:val="20"/>
                <w:szCs w:val="20"/>
              </w:rPr>
              <w:t xml:space="preserve">-Montes </w:t>
            </w:r>
          </w:p>
          <w:p w:rsidR="00D56A17" w:rsidRPr="000B45AA" w:rsidRDefault="00D56A17" w:rsidP="0052209F">
            <w:pPr>
              <w:rPr>
                <w:sz w:val="20"/>
                <w:szCs w:val="20"/>
              </w:rPr>
            </w:pPr>
            <w:r w:rsidRPr="000B45AA">
              <w:rPr>
                <w:sz w:val="20"/>
                <w:szCs w:val="20"/>
              </w:rPr>
              <w:t>et al.</w:t>
            </w:r>
            <w:r w:rsidRPr="000B45AA">
              <w:rPr>
                <w:sz w:val="20"/>
                <w:szCs w:val="20"/>
                <w:vertAlign w:val="superscript"/>
              </w:rPr>
              <w:t>23</w:t>
            </w:r>
            <w:r w:rsidRPr="000B45AA">
              <w:rPr>
                <w:sz w:val="20"/>
                <w:szCs w:val="20"/>
              </w:rPr>
              <w:t>,2012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11</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Ferriol</w:t>
            </w:r>
            <w:proofErr w:type="spellEnd"/>
            <w:r w:rsidRPr="000B45AA">
              <w:rPr>
                <w:sz w:val="20"/>
                <w:szCs w:val="20"/>
              </w:rPr>
              <w:t xml:space="preserve"> et al.</w:t>
            </w:r>
            <w:r w:rsidRPr="000B45AA">
              <w:rPr>
                <w:sz w:val="20"/>
                <w:szCs w:val="20"/>
                <w:vertAlign w:val="superscript"/>
              </w:rPr>
              <w:t>26</w:t>
            </w:r>
            <w:r w:rsidRPr="000B45AA">
              <w:rPr>
                <w:sz w:val="20"/>
                <w:szCs w:val="20"/>
              </w:rPr>
              <w:t>,2011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9</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vertAlign w:val="superscript"/>
              </w:rPr>
            </w:pPr>
            <w:proofErr w:type="spellStart"/>
            <w:r w:rsidRPr="000B45AA">
              <w:rPr>
                <w:sz w:val="20"/>
                <w:szCs w:val="20"/>
              </w:rPr>
              <w:t>Ferriol</w:t>
            </w:r>
            <w:proofErr w:type="spellEnd"/>
            <w:r w:rsidRPr="000B45AA">
              <w:rPr>
                <w:sz w:val="20"/>
                <w:szCs w:val="20"/>
              </w:rPr>
              <w:t xml:space="preserve"> et al.</w:t>
            </w:r>
            <w:r w:rsidRPr="000B45AA">
              <w:rPr>
                <w:sz w:val="20"/>
                <w:szCs w:val="20"/>
                <w:vertAlign w:val="superscript"/>
              </w:rPr>
              <w:t>26</w:t>
            </w:r>
            <w:r w:rsidRPr="000B45AA">
              <w:rPr>
                <w:sz w:val="20"/>
                <w:szCs w:val="20"/>
              </w:rPr>
              <w:t>,2011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M,20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Kaya</w:t>
            </w:r>
            <w:proofErr w:type="spellEnd"/>
            <w:r w:rsidRPr="000B45AA">
              <w:rPr>
                <w:sz w:val="20"/>
                <w:szCs w:val="20"/>
              </w:rPr>
              <w:t xml:space="preserve"> et al.</w:t>
            </w:r>
            <w:r w:rsidRPr="000B45AA">
              <w:rPr>
                <w:rStyle w:val="PageNumber"/>
                <w:sz w:val="20"/>
                <w:szCs w:val="20"/>
                <w:vertAlign w:val="superscript"/>
              </w:rPr>
              <w:t>63</w:t>
            </w:r>
            <w:r w:rsidRPr="000B45AA">
              <w:rPr>
                <w:rStyle w:val="PageNumber"/>
                <w:sz w:val="20"/>
                <w:szCs w:val="20"/>
              </w:rPr>
              <w:t>,2011</w:t>
            </w:r>
            <w:r w:rsidRPr="000B45AA">
              <w:rPr>
                <w:sz w:val="20"/>
                <w:szCs w:val="20"/>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F,39</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Inchingolo</w:t>
            </w:r>
            <w:proofErr w:type="spellEnd"/>
            <w:r w:rsidRPr="000B45AA">
              <w:rPr>
                <w:sz w:val="20"/>
                <w:szCs w:val="20"/>
              </w:rPr>
              <w:t xml:space="preserve"> et al.</w:t>
            </w:r>
            <w:r w:rsidRPr="000B45AA">
              <w:rPr>
                <w:sz w:val="20"/>
                <w:szCs w:val="20"/>
                <w:vertAlign w:val="superscript"/>
              </w:rPr>
              <w:t>27</w:t>
            </w:r>
            <w:r w:rsidRPr="000B45AA">
              <w:rPr>
                <w:sz w:val="20"/>
                <w:szCs w:val="20"/>
              </w:rPr>
              <w:t>,2010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F,17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r w:rsidRPr="000B45AA">
              <w:rPr>
                <w:sz w:val="20"/>
                <w:szCs w:val="20"/>
              </w:rPr>
              <w:t>Hyun et al.</w:t>
            </w:r>
            <w:r w:rsidRPr="000B45AA">
              <w:rPr>
                <w:sz w:val="20"/>
                <w:szCs w:val="20"/>
                <w:vertAlign w:val="superscript"/>
              </w:rPr>
              <w:t>11</w:t>
            </w:r>
            <w:r w:rsidRPr="000B45AA">
              <w:rPr>
                <w:sz w:val="20"/>
                <w:szCs w:val="20"/>
              </w:rPr>
              <w:t>,2008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r w:rsidRPr="000B45AA">
              <w:rPr>
                <w:sz w:val="20"/>
                <w:szCs w:val="20"/>
              </w:rPr>
              <w:t>Hyun et al.</w:t>
            </w:r>
            <w:r w:rsidRPr="000B45AA">
              <w:rPr>
                <w:sz w:val="20"/>
                <w:szCs w:val="20"/>
                <w:vertAlign w:val="superscript"/>
              </w:rPr>
              <w:t>11</w:t>
            </w:r>
            <w:r w:rsidRPr="000B45AA">
              <w:rPr>
                <w:sz w:val="20"/>
                <w:szCs w:val="20"/>
              </w:rPr>
              <w:t>,2008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F,20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vertAlign w:val="superscript"/>
              </w:rPr>
            </w:pPr>
            <w:r w:rsidRPr="000B45AA">
              <w:rPr>
                <w:sz w:val="20"/>
                <w:szCs w:val="20"/>
              </w:rPr>
              <w:t>Hyun et al.</w:t>
            </w:r>
            <w:r w:rsidRPr="000B45AA">
              <w:rPr>
                <w:sz w:val="20"/>
                <w:szCs w:val="20"/>
                <w:vertAlign w:val="superscript"/>
              </w:rPr>
              <w:t>11</w:t>
            </w:r>
            <w:r w:rsidRPr="000B45AA">
              <w:rPr>
                <w:sz w:val="20"/>
                <w:szCs w:val="20"/>
              </w:rPr>
              <w:t>,2008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Sivapathasundharam</w:t>
            </w:r>
            <w:proofErr w:type="spellEnd"/>
            <w:r w:rsidRPr="000B45AA">
              <w:rPr>
                <w:sz w:val="20"/>
                <w:szCs w:val="20"/>
              </w:rPr>
              <w:t xml:space="preserve"> &amp; Einstein</w:t>
            </w:r>
            <w:r w:rsidRPr="000B45AA">
              <w:rPr>
                <w:sz w:val="20"/>
                <w:szCs w:val="20"/>
                <w:vertAlign w:val="superscript"/>
              </w:rPr>
              <w:t>28</w:t>
            </w:r>
            <w:r w:rsidRPr="000B45AA">
              <w:rPr>
                <w:sz w:val="20"/>
                <w:szCs w:val="20"/>
              </w:rPr>
              <w:t>,2007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M,20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9</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lastRenderedPageBreak/>
              <w:t>Srivatsan</w:t>
            </w:r>
            <w:proofErr w:type="spellEnd"/>
            <w:r w:rsidRPr="000B45AA">
              <w:rPr>
                <w:sz w:val="20"/>
                <w:szCs w:val="20"/>
              </w:rPr>
              <w:t xml:space="preserve"> and </w:t>
            </w:r>
            <w:proofErr w:type="spellStart"/>
            <w:r w:rsidRPr="000B45AA">
              <w:rPr>
                <w:sz w:val="20"/>
                <w:szCs w:val="20"/>
              </w:rPr>
              <w:t>Aravindha</w:t>
            </w:r>
            <w:proofErr w:type="spellEnd"/>
            <w:r w:rsidRPr="000B45AA">
              <w:rPr>
                <w:sz w:val="20"/>
                <w:szCs w:val="20"/>
              </w:rPr>
              <w:t xml:space="preserve"> Babu</w:t>
            </w:r>
            <w:r w:rsidRPr="000B45AA">
              <w:rPr>
                <w:sz w:val="20"/>
                <w:szCs w:val="20"/>
                <w:vertAlign w:val="superscript"/>
              </w:rPr>
              <w:t>29</w:t>
            </w:r>
            <w:r w:rsidRPr="000B45AA">
              <w:rPr>
                <w:sz w:val="20"/>
                <w:szCs w:val="20"/>
              </w:rPr>
              <w:t>,</w:t>
            </w:r>
            <w:r w:rsidR="0052209F" w:rsidRPr="000B45AA">
              <w:rPr>
                <w:sz w:val="20"/>
                <w:szCs w:val="20"/>
              </w:rPr>
              <w:t xml:space="preserve"> </w:t>
            </w:r>
            <w:r w:rsidRPr="000B45AA">
              <w:rPr>
                <w:sz w:val="20"/>
                <w:szCs w:val="20"/>
              </w:rPr>
              <w:t>2007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F,19</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r w:rsidRPr="000B45AA">
              <w:rPr>
                <w:sz w:val="20"/>
                <w:szCs w:val="20"/>
              </w:rPr>
              <w:t>Wang et al.</w:t>
            </w:r>
            <w:r w:rsidRPr="000B45AA">
              <w:rPr>
                <w:sz w:val="20"/>
                <w:szCs w:val="20"/>
                <w:vertAlign w:val="superscript"/>
              </w:rPr>
              <w:t>30</w:t>
            </w:r>
            <w:r w:rsidRPr="000B45AA">
              <w:rPr>
                <w:sz w:val="20"/>
                <w:szCs w:val="20"/>
              </w:rPr>
              <w:t>,2007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F,11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Acikgoz</w:t>
            </w:r>
            <w:proofErr w:type="spellEnd"/>
            <w:r w:rsidRPr="000B45AA">
              <w:rPr>
                <w:sz w:val="20"/>
                <w:szCs w:val="20"/>
              </w:rPr>
              <w:t xml:space="preserve"> et al.</w:t>
            </w:r>
            <w:r w:rsidRPr="000B45AA">
              <w:rPr>
                <w:sz w:val="20"/>
                <w:szCs w:val="20"/>
                <w:vertAlign w:val="superscript"/>
              </w:rPr>
              <w:t>21</w:t>
            </w:r>
            <w:r w:rsidRPr="000B45AA">
              <w:rPr>
                <w:sz w:val="20"/>
                <w:szCs w:val="20"/>
              </w:rPr>
              <w:t>,</w:t>
            </w:r>
            <w:r w:rsidR="0052209F" w:rsidRPr="000B45AA">
              <w:rPr>
                <w:sz w:val="20"/>
                <w:szCs w:val="20"/>
              </w:rPr>
              <w:t xml:space="preserve"> </w:t>
            </w:r>
            <w:r w:rsidRPr="000B45AA">
              <w:rPr>
                <w:sz w:val="20"/>
                <w:szCs w:val="20"/>
              </w:rPr>
              <w:t>2006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M,27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Acikgoz</w:t>
            </w:r>
            <w:proofErr w:type="spellEnd"/>
            <w:r w:rsidRPr="000B45AA">
              <w:rPr>
                <w:sz w:val="20"/>
                <w:szCs w:val="20"/>
              </w:rPr>
              <w:t xml:space="preserve"> et al.</w:t>
            </w:r>
            <w:r w:rsidRPr="000B45AA">
              <w:rPr>
                <w:sz w:val="20"/>
                <w:szCs w:val="20"/>
                <w:vertAlign w:val="superscript"/>
              </w:rPr>
              <w:t>21</w:t>
            </w:r>
            <w:r w:rsidRPr="000B45AA">
              <w:rPr>
                <w:sz w:val="20"/>
                <w:szCs w:val="20"/>
              </w:rPr>
              <w:t>,</w:t>
            </w:r>
            <w:r w:rsidR="0052209F" w:rsidRPr="000B45AA">
              <w:rPr>
                <w:sz w:val="20"/>
                <w:szCs w:val="20"/>
              </w:rPr>
              <w:t xml:space="preserve"> </w:t>
            </w:r>
            <w:r w:rsidRPr="000B45AA">
              <w:rPr>
                <w:sz w:val="20"/>
                <w:szCs w:val="20"/>
              </w:rPr>
              <w:t>2006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M,20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Acikgoz</w:t>
            </w:r>
            <w:proofErr w:type="spellEnd"/>
            <w:r w:rsidRPr="000B45AA">
              <w:rPr>
                <w:sz w:val="20"/>
                <w:szCs w:val="20"/>
              </w:rPr>
              <w:t xml:space="preserve"> et al.</w:t>
            </w:r>
            <w:r w:rsidRPr="000B45AA">
              <w:rPr>
                <w:sz w:val="20"/>
                <w:szCs w:val="20"/>
                <w:vertAlign w:val="superscript"/>
              </w:rPr>
              <w:t>21</w:t>
            </w:r>
            <w:r w:rsidRPr="000B45AA">
              <w:rPr>
                <w:sz w:val="20"/>
                <w:szCs w:val="20"/>
              </w:rPr>
              <w:t>,</w:t>
            </w:r>
            <w:r w:rsidR="0052209F" w:rsidRPr="000B45AA">
              <w:rPr>
                <w:sz w:val="20"/>
                <w:szCs w:val="20"/>
              </w:rPr>
              <w:t xml:space="preserve"> </w:t>
            </w:r>
            <w:r w:rsidRPr="000B45AA">
              <w:rPr>
                <w:sz w:val="20"/>
                <w:szCs w:val="20"/>
              </w:rPr>
              <w:t>2006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Acikgoz</w:t>
            </w:r>
            <w:proofErr w:type="spellEnd"/>
            <w:r w:rsidRPr="000B45AA">
              <w:rPr>
                <w:sz w:val="20"/>
                <w:szCs w:val="20"/>
              </w:rPr>
              <w:t xml:space="preserve"> et al.</w:t>
            </w:r>
            <w:r w:rsidRPr="000B45AA">
              <w:rPr>
                <w:sz w:val="20"/>
                <w:szCs w:val="20"/>
                <w:vertAlign w:val="superscript"/>
              </w:rPr>
              <w:t>21</w:t>
            </w:r>
            <w:r w:rsidRPr="000B45AA">
              <w:rPr>
                <w:sz w:val="20"/>
                <w:szCs w:val="20"/>
              </w:rPr>
              <w:t>,</w:t>
            </w:r>
            <w:r w:rsidR="0052209F" w:rsidRPr="000B45AA">
              <w:rPr>
                <w:sz w:val="20"/>
                <w:szCs w:val="20"/>
              </w:rPr>
              <w:t xml:space="preserve"> </w:t>
            </w:r>
            <w:r w:rsidRPr="000B45AA">
              <w:rPr>
                <w:sz w:val="20"/>
                <w:szCs w:val="20"/>
              </w:rPr>
              <w:t>2006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M,33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Acikgoz</w:t>
            </w:r>
            <w:proofErr w:type="spellEnd"/>
            <w:r w:rsidRPr="000B45AA">
              <w:rPr>
                <w:sz w:val="20"/>
                <w:szCs w:val="20"/>
              </w:rPr>
              <w:t xml:space="preserve"> et al.</w:t>
            </w:r>
            <w:r w:rsidRPr="000B45AA">
              <w:rPr>
                <w:sz w:val="20"/>
                <w:szCs w:val="20"/>
                <w:vertAlign w:val="superscript"/>
              </w:rPr>
              <w:t>21</w:t>
            </w:r>
            <w:r w:rsidRPr="000B45AA">
              <w:rPr>
                <w:sz w:val="20"/>
                <w:szCs w:val="20"/>
              </w:rPr>
              <w:t>,</w:t>
            </w:r>
            <w:r w:rsidR="0052209F" w:rsidRPr="000B45AA">
              <w:rPr>
                <w:sz w:val="20"/>
                <w:szCs w:val="20"/>
              </w:rPr>
              <w:t xml:space="preserve"> </w:t>
            </w:r>
            <w:r w:rsidRPr="000B45AA">
              <w:rPr>
                <w:sz w:val="20"/>
                <w:szCs w:val="20"/>
              </w:rPr>
              <w:t>2006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M,20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Acikgoz</w:t>
            </w:r>
            <w:proofErr w:type="spellEnd"/>
            <w:r w:rsidRPr="000B45AA">
              <w:rPr>
                <w:sz w:val="20"/>
                <w:szCs w:val="20"/>
              </w:rPr>
              <w:t xml:space="preserve"> et al.</w:t>
            </w:r>
            <w:r w:rsidRPr="000B45AA">
              <w:rPr>
                <w:sz w:val="20"/>
                <w:szCs w:val="20"/>
                <w:vertAlign w:val="superscript"/>
              </w:rPr>
              <w:t>21</w:t>
            </w:r>
            <w:r w:rsidRPr="000B45AA">
              <w:rPr>
                <w:sz w:val="20"/>
                <w:szCs w:val="20"/>
              </w:rPr>
              <w:t>,</w:t>
            </w:r>
            <w:r w:rsidR="0052209F" w:rsidRPr="000B45AA">
              <w:rPr>
                <w:sz w:val="20"/>
                <w:szCs w:val="20"/>
              </w:rPr>
              <w:t xml:space="preserve"> </w:t>
            </w:r>
            <w:r w:rsidRPr="000B45AA">
              <w:rPr>
                <w:sz w:val="20"/>
                <w:szCs w:val="20"/>
              </w:rPr>
              <w:t>2006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M,22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Nayak</w:t>
            </w:r>
            <w:proofErr w:type="spellEnd"/>
            <w:r w:rsidRPr="000B45AA">
              <w:rPr>
                <w:sz w:val="20"/>
                <w:szCs w:val="20"/>
              </w:rPr>
              <w:t xml:space="preserve"> &amp; Mathian</w:t>
            </w:r>
            <w:r w:rsidRPr="000B45AA">
              <w:rPr>
                <w:sz w:val="20"/>
                <w:szCs w:val="20"/>
                <w:vertAlign w:val="superscript"/>
              </w:rPr>
              <w:t>31</w:t>
            </w:r>
            <w:r w:rsidRPr="000B45AA">
              <w:rPr>
                <w:sz w:val="20"/>
                <w:szCs w:val="20"/>
              </w:rPr>
              <w:t>,</w:t>
            </w:r>
            <w:r w:rsidR="0052209F" w:rsidRPr="000B45AA">
              <w:rPr>
                <w:sz w:val="20"/>
                <w:szCs w:val="20"/>
              </w:rPr>
              <w:t xml:space="preserve"> </w:t>
            </w:r>
            <w:r w:rsidRPr="000B45AA">
              <w:rPr>
                <w:sz w:val="20"/>
                <w:szCs w:val="20"/>
              </w:rPr>
              <w:t>2006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Batra</w:t>
            </w:r>
            <w:proofErr w:type="spellEnd"/>
            <w:r w:rsidRPr="000B45AA">
              <w:rPr>
                <w:sz w:val="20"/>
                <w:szCs w:val="20"/>
              </w:rPr>
              <w:t xml:space="preserve"> et al.</w:t>
            </w:r>
            <w:r w:rsidRPr="000B45AA">
              <w:rPr>
                <w:sz w:val="20"/>
                <w:szCs w:val="20"/>
                <w:vertAlign w:val="superscript"/>
              </w:rPr>
              <w:t>32</w:t>
            </w:r>
            <w:r w:rsidRPr="000B45AA">
              <w:rPr>
                <w:sz w:val="20"/>
                <w:szCs w:val="20"/>
              </w:rPr>
              <w:t>,</w:t>
            </w:r>
            <w:r w:rsidR="0052209F" w:rsidRPr="000B45AA">
              <w:rPr>
                <w:sz w:val="20"/>
                <w:szCs w:val="20"/>
              </w:rPr>
              <w:t xml:space="preserve"> </w:t>
            </w:r>
            <w:r w:rsidRPr="000B45AA">
              <w:rPr>
                <w:sz w:val="20"/>
                <w:szCs w:val="20"/>
              </w:rPr>
              <w:t>2005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F,17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vertAlign w:val="superscript"/>
              </w:rPr>
            </w:pPr>
            <w:proofErr w:type="spellStart"/>
            <w:r w:rsidRPr="000B45AA">
              <w:rPr>
                <w:sz w:val="20"/>
                <w:szCs w:val="20"/>
              </w:rPr>
              <w:t>Batra</w:t>
            </w:r>
            <w:proofErr w:type="spellEnd"/>
            <w:r w:rsidRPr="000B45AA">
              <w:rPr>
                <w:sz w:val="20"/>
                <w:szCs w:val="20"/>
              </w:rPr>
              <w:t xml:space="preserve"> et al.</w:t>
            </w:r>
            <w:r w:rsidRPr="000B45AA">
              <w:rPr>
                <w:sz w:val="20"/>
                <w:szCs w:val="20"/>
                <w:vertAlign w:val="superscript"/>
              </w:rPr>
              <w:t>32</w:t>
            </w:r>
            <w:r w:rsidRPr="000B45AA">
              <w:rPr>
                <w:sz w:val="20"/>
                <w:szCs w:val="20"/>
              </w:rPr>
              <w:t>,2005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M,20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Arathi</w:t>
            </w:r>
            <w:proofErr w:type="spellEnd"/>
            <w:r w:rsidRPr="000B45AA">
              <w:rPr>
                <w:sz w:val="20"/>
                <w:szCs w:val="20"/>
              </w:rPr>
              <w:t xml:space="preserve"> &amp; Ashwini</w:t>
            </w:r>
            <w:r w:rsidRPr="000B45AA">
              <w:rPr>
                <w:sz w:val="20"/>
                <w:szCs w:val="20"/>
                <w:vertAlign w:val="superscript"/>
              </w:rPr>
              <w:t>33</w:t>
            </w:r>
            <w:r w:rsidRPr="000B45AA">
              <w:rPr>
                <w:sz w:val="20"/>
                <w:szCs w:val="20"/>
              </w:rPr>
              <w:t>,</w:t>
            </w:r>
            <w:r w:rsidR="0052209F" w:rsidRPr="000B45AA">
              <w:rPr>
                <w:sz w:val="20"/>
                <w:szCs w:val="20"/>
              </w:rPr>
              <w:t xml:space="preserve"> </w:t>
            </w:r>
            <w:r w:rsidRPr="000B45AA">
              <w:rPr>
                <w:sz w:val="20"/>
                <w:szCs w:val="20"/>
              </w:rPr>
              <w:t>2005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9</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r w:rsidRPr="000B45AA">
              <w:rPr>
                <w:sz w:val="20"/>
                <w:szCs w:val="20"/>
              </w:rPr>
              <w:t>Bartleman</w:t>
            </w:r>
            <w:r w:rsidRPr="000B45AA">
              <w:rPr>
                <w:sz w:val="20"/>
                <w:szCs w:val="20"/>
                <w:vertAlign w:val="superscript"/>
              </w:rPr>
              <w:t>34</w:t>
            </w:r>
            <w:r w:rsidRPr="000B45AA">
              <w:rPr>
                <w:sz w:val="20"/>
                <w:szCs w:val="20"/>
              </w:rPr>
              <w:t>,</w:t>
            </w:r>
            <w:r w:rsidR="0052209F" w:rsidRPr="000B45AA">
              <w:rPr>
                <w:sz w:val="20"/>
                <w:szCs w:val="20"/>
              </w:rPr>
              <w:t xml:space="preserve"> </w:t>
            </w:r>
            <w:r w:rsidRPr="000B45AA">
              <w:rPr>
                <w:sz w:val="20"/>
                <w:szCs w:val="20"/>
              </w:rPr>
              <w:t>2005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Manrique</w:t>
            </w:r>
            <w:proofErr w:type="spellEnd"/>
            <w:r w:rsidRPr="000B45AA">
              <w:rPr>
                <w:sz w:val="20"/>
                <w:szCs w:val="20"/>
              </w:rPr>
              <w:t xml:space="preserve"> Mora</w:t>
            </w:r>
            <w:r w:rsidRPr="000B45AA">
              <w:rPr>
                <w:sz w:val="20"/>
                <w:szCs w:val="20"/>
                <w:vertAlign w:val="superscript"/>
              </w:rPr>
              <w:t>35</w:t>
            </w:r>
            <w:r w:rsidRPr="000B45AA">
              <w:rPr>
                <w:sz w:val="20"/>
                <w:szCs w:val="20"/>
              </w:rPr>
              <w:t>,</w:t>
            </w:r>
            <w:r w:rsidR="0052209F" w:rsidRPr="000B45AA">
              <w:rPr>
                <w:sz w:val="20"/>
                <w:szCs w:val="20"/>
              </w:rPr>
              <w:t xml:space="preserve"> </w:t>
            </w:r>
            <w:r w:rsidRPr="000B45AA">
              <w:rPr>
                <w:sz w:val="20"/>
                <w:szCs w:val="20"/>
              </w:rPr>
              <w:t>2004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r w:rsidRPr="000B45AA">
              <w:rPr>
                <w:sz w:val="20"/>
                <w:szCs w:val="20"/>
              </w:rPr>
              <w:t>So</w:t>
            </w:r>
            <w:r w:rsidRPr="000B45AA">
              <w:rPr>
                <w:sz w:val="20"/>
                <w:szCs w:val="20"/>
                <w:vertAlign w:val="superscript"/>
              </w:rPr>
              <w:t>36</w:t>
            </w:r>
            <w:r w:rsidRPr="000B45AA">
              <w:rPr>
                <w:sz w:val="20"/>
                <w:szCs w:val="20"/>
              </w:rPr>
              <w:t>,2003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9</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9</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lastRenderedPageBreak/>
              <w:t>Ng'ang'a</w:t>
            </w:r>
            <w:proofErr w:type="spellEnd"/>
            <w:r w:rsidRPr="000B45AA">
              <w:rPr>
                <w:sz w:val="20"/>
                <w:szCs w:val="20"/>
              </w:rPr>
              <w:t xml:space="preserve"> et al.</w:t>
            </w:r>
            <w:r w:rsidRPr="000B45AA">
              <w:rPr>
                <w:sz w:val="20"/>
                <w:szCs w:val="20"/>
                <w:vertAlign w:val="superscript"/>
              </w:rPr>
              <w:t>37</w:t>
            </w:r>
            <w:r w:rsidRPr="000B45AA">
              <w:rPr>
                <w:sz w:val="20"/>
                <w:szCs w:val="20"/>
              </w:rPr>
              <w:t>,</w:t>
            </w:r>
            <w:r w:rsidR="0052209F" w:rsidRPr="000B45AA">
              <w:rPr>
                <w:sz w:val="20"/>
                <w:szCs w:val="20"/>
              </w:rPr>
              <w:t xml:space="preserve"> </w:t>
            </w:r>
            <w:r w:rsidRPr="000B45AA">
              <w:rPr>
                <w:sz w:val="20"/>
                <w:szCs w:val="20"/>
              </w:rPr>
              <w:t>2002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M,14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Ng'ang'a</w:t>
            </w:r>
            <w:proofErr w:type="spellEnd"/>
            <w:r w:rsidRPr="000B45AA">
              <w:rPr>
                <w:sz w:val="20"/>
                <w:szCs w:val="20"/>
              </w:rPr>
              <w:t xml:space="preserve"> et al.</w:t>
            </w:r>
            <w:r w:rsidRPr="000B45AA">
              <w:rPr>
                <w:sz w:val="20"/>
                <w:szCs w:val="20"/>
                <w:vertAlign w:val="superscript"/>
              </w:rPr>
              <w:t>37</w:t>
            </w:r>
            <w:r w:rsidRPr="000B45AA">
              <w:rPr>
                <w:sz w:val="20"/>
                <w:szCs w:val="20"/>
              </w:rPr>
              <w:t>,</w:t>
            </w:r>
            <w:r w:rsidR="0052209F" w:rsidRPr="000B45AA">
              <w:rPr>
                <w:sz w:val="20"/>
                <w:szCs w:val="20"/>
              </w:rPr>
              <w:t xml:space="preserve"> </w:t>
            </w:r>
            <w:r w:rsidRPr="000B45AA">
              <w:rPr>
                <w:sz w:val="20"/>
                <w:szCs w:val="20"/>
              </w:rPr>
              <w:t>2002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F,13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proofErr w:type="spellStart"/>
            <w:r w:rsidRPr="000B45AA">
              <w:rPr>
                <w:sz w:val="20"/>
                <w:szCs w:val="20"/>
              </w:rPr>
              <w:t>Arcuri</w:t>
            </w:r>
            <w:proofErr w:type="spellEnd"/>
            <w:r w:rsidRPr="000B45AA">
              <w:rPr>
                <w:sz w:val="20"/>
                <w:szCs w:val="20"/>
              </w:rPr>
              <w:t xml:space="preserve"> et al.</w:t>
            </w:r>
            <w:r w:rsidRPr="000B45AA">
              <w:rPr>
                <w:sz w:val="20"/>
                <w:szCs w:val="20"/>
                <w:vertAlign w:val="superscript"/>
              </w:rPr>
              <w:t>38</w:t>
            </w:r>
            <w:r w:rsidRPr="000B45AA">
              <w:rPr>
                <w:sz w:val="20"/>
                <w:szCs w:val="20"/>
              </w:rPr>
              <w:t>,2002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F,09</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r w:rsidRPr="000B45AA">
              <w:rPr>
                <w:sz w:val="20"/>
                <w:szCs w:val="20"/>
              </w:rPr>
              <w:t>Duffy</w:t>
            </w:r>
            <w:r w:rsidRPr="000B45AA">
              <w:rPr>
                <w:sz w:val="20"/>
                <w:szCs w:val="20"/>
                <w:vertAlign w:val="superscript"/>
              </w:rPr>
              <w:t>39</w:t>
            </w:r>
            <w:r w:rsidRPr="000B45AA">
              <w:rPr>
                <w:sz w:val="20"/>
                <w:szCs w:val="20"/>
              </w:rPr>
              <w:t>,2001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M,23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13</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r w:rsidR="0052209F" w:rsidRPr="000B45AA" w:rsidTr="00494AA8">
        <w:trPr>
          <w:trHeight w:val="92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D56A17" w:rsidRPr="000B45AA" w:rsidRDefault="00D56A17" w:rsidP="0052209F">
            <w:pPr>
              <w:rPr>
                <w:sz w:val="20"/>
                <w:szCs w:val="20"/>
              </w:rPr>
            </w:pPr>
            <w:r w:rsidRPr="000B45AA">
              <w:rPr>
                <w:sz w:val="20"/>
                <w:szCs w:val="20"/>
              </w:rPr>
              <w:t>Sharma</w:t>
            </w:r>
            <w:r w:rsidRPr="000B45AA">
              <w:rPr>
                <w:sz w:val="20"/>
                <w:szCs w:val="20"/>
                <w:vertAlign w:val="superscript"/>
              </w:rPr>
              <w:t>40</w:t>
            </w:r>
            <w:r w:rsidRPr="000B45AA">
              <w:rPr>
                <w:sz w:val="20"/>
                <w:szCs w:val="20"/>
              </w:rPr>
              <w:t>,2001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F,12</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11</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7</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4</w:t>
            </w:r>
          </w:p>
        </w:tc>
        <w:tc>
          <w:tcPr>
            <w:tcW w:w="1062"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6</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D56A17" w:rsidRPr="000B45AA" w:rsidRDefault="00D56A17" w:rsidP="007E6823">
            <w:pPr>
              <w:jc w:val="center"/>
              <w:rPr>
                <w:sz w:val="20"/>
                <w:szCs w:val="20"/>
              </w:rPr>
            </w:pPr>
            <w:r w:rsidRPr="000B45AA">
              <w:rPr>
                <w:sz w:val="20"/>
                <w:szCs w:val="20"/>
              </w:rPr>
              <w:t>0</w:t>
            </w:r>
          </w:p>
        </w:tc>
      </w:tr>
    </w:tbl>
    <w:p w:rsidR="00E94D15" w:rsidRPr="000B45AA" w:rsidRDefault="00E94D15" w:rsidP="007E6823">
      <w:pPr>
        <w:rPr>
          <w:b/>
          <w:sz w:val="20"/>
          <w:szCs w:val="20"/>
        </w:rPr>
      </w:pPr>
    </w:p>
    <w:p w:rsidR="00494AA8" w:rsidRPr="000B45AA" w:rsidRDefault="00494AA8" w:rsidP="007E6823">
      <w:pPr>
        <w:rPr>
          <w:b/>
          <w:sz w:val="20"/>
          <w:szCs w:val="20"/>
        </w:rPr>
      </w:pPr>
    </w:p>
    <w:p w:rsidR="00494AA8" w:rsidRPr="000B45AA" w:rsidRDefault="00494AA8" w:rsidP="007E6823">
      <w:pPr>
        <w:rPr>
          <w:b/>
          <w:sz w:val="20"/>
          <w:szCs w:val="20"/>
        </w:rPr>
      </w:pPr>
    </w:p>
    <w:p w:rsidR="00051B4E" w:rsidRPr="000B45AA" w:rsidRDefault="00051B4E" w:rsidP="007E6823">
      <w:pPr>
        <w:rPr>
          <w:b/>
          <w:sz w:val="20"/>
          <w:szCs w:val="20"/>
        </w:rPr>
      </w:pPr>
      <w:r w:rsidRPr="000B45AA">
        <w:rPr>
          <w:b/>
          <w:sz w:val="20"/>
          <w:szCs w:val="20"/>
        </w:rPr>
        <w:t xml:space="preserve">Table 1:  Data Set for Supernumerary </w:t>
      </w:r>
      <w:proofErr w:type="gramStart"/>
      <w:r w:rsidRPr="000B45AA">
        <w:rPr>
          <w:b/>
          <w:sz w:val="20"/>
          <w:szCs w:val="20"/>
        </w:rPr>
        <w:t>Teeth ..</w:t>
      </w:r>
      <w:proofErr w:type="gramEnd"/>
      <w:r w:rsidRPr="000B45AA">
        <w:rPr>
          <w:b/>
          <w:sz w:val="20"/>
          <w:szCs w:val="20"/>
        </w:rPr>
        <w:t xml:space="preserve"> </w:t>
      </w:r>
      <w:proofErr w:type="gramStart"/>
      <w:r w:rsidRPr="000B45AA">
        <w:rPr>
          <w:b/>
          <w:sz w:val="20"/>
          <w:szCs w:val="20"/>
        </w:rPr>
        <w:t>cont</w:t>
      </w:r>
      <w:r w:rsidR="00740A8C" w:rsidRPr="000B45AA">
        <w:rPr>
          <w:b/>
          <w:sz w:val="20"/>
          <w:szCs w:val="20"/>
        </w:rPr>
        <w:t>inued</w:t>
      </w:r>
      <w:proofErr w:type="gramEnd"/>
      <w:r w:rsidRPr="000B45AA">
        <w:rPr>
          <w:b/>
          <w:sz w:val="20"/>
          <w:szCs w:val="20"/>
        </w:rPr>
        <w:t>.</w:t>
      </w:r>
    </w:p>
    <w:p w:rsidR="007E6823" w:rsidRPr="000B45AA" w:rsidRDefault="007E6823" w:rsidP="007E6823">
      <w:pPr>
        <w:rPr>
          <w:b/>
          <w:sz w:val="20"/>
          <w:szCs w:val="20"/>
        </w:rPr>
      </w:pPr>
    </w:p>
    <w:p w:rsidR="00494AA8" w:rsidRPr="000B45AA" w:rsidRDefault="00494AA8" w:rsidP="007E6823">
      <w:pPr>
        <w:rPr>
          <w:b/>
          <w:sz w:val="20"/>
          <w:szCs w:val="20"/>
        </w:rPr>
      </w:pPr>
    </w:p>
    <w:tbl>
      <w:tblPr>
        <w:tblW w:w="1071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41"/>
        <w:gridCol w:w="49"/>
        <w:gridCol w:w="1080"/>
        <w:gridCol w:w="1080"/>
        <w:gridCol w:w="1080"/>
        <w:gridCol w:w="1080"/>
        <w:gridCol w:w="1080"/>
        <w:gridCol w:w="990"/>
        <w:gridCol w:w="1080"/>
        <w:gridCol w:w="990"/>
      </w:tblGrid>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b/>
                <w:bCs/>
                <w:sz w:val="20"/>
                <w:szCs w:val="20"/>
              </w:rPr>
            </w:pPr>
            <w:r w:rsidRPr="000B45AA">
              <w:rPr>
                <w:b/>
                <w:bCs/>
                <w:sz w:val="20"/>
                <w:szCs w:val="20"/>
              </w:rPr>
              <w:t>Author</w:t>
            </w:r>
          </w:p>
        </w:tc>
        <w:tc>
          <w:tcPr>
            <w:tcW w:w="990" w:type="dxa"/>
            <w:gridSpan w:val="2"/>
            <w:shd w:val="clear" w:color="auto" w:fill="auto"/>
            <w:noWrap/>
            <w:vAlign w:val="center"/>
            <w:hideMark/>
          </w:tcPr>
          <w:p w:rsidR="00051B4E" w:rsidRPr="000B45AA" w:rsidRDefault="00051B4E" w:rsidP="007E6823">
            <w:pPr>
              <w:jc w:val="center"/>
              <w:rPr>
                <w:b/>
                <w:bCs/>
                <w:sz w:val="20"/>
                <w:szCs w:val="20"/>
              </w:rPr>
            </w:pPr>
            <w:r w:rsidRPr="000B45AA">
              <w:rPr>
                <w:b/>
                <w:bCs/>
                <w:sz w:val="20"/>
                <w:szCs w:val="20"/>
              </w:rPr>
              <w:t>Gender, Age</w:t>
            </w:r>
          </w:p>
        </w:tc>
        <w:tc>
          <w:tcPr>
            <w:tcW w:w="1080" w:type="dxa"/>
            <w:shd w:val="clear" w:color="auto" w:fill="auto"/>
            <w:noWrap/>
            <w:vAlign w:val="center"/>
            <w:hideMark/>
          </w:tcPr>
          <w:p w:rsidR="00051B4E" w:rsidRPr="000B45AA" w:rsidRDefault="00051B4E" w:rsidP="007E6823">
            <w:pPr>
              <w:jc w:val="center"/>
              <w:rPr>
                <w:b/>
                <w:bCs/>
                <w:sz w:val="20"/>
                <w:szCs w:val="20"/>
              </w:rPr>
            </w:pPr>
            <w:r w:rsidRPr="000B45AA">
              <w:rPr>
                <w:b/>
                <w:bCs/>
                <w:sz w:val="20"/>
                <w:szCs w:val="20"/>
              </w:rPr>
              <w:t xml:space="preserve">No. of </w:t>
            </w:r>
            <w:r w:rsidRPr="000B45AA">
              <w:rPr>
                <w:b/>
                <w:bCs/>
                <w:sz w:val="20"/>
                <w:szCs w:val="20"/>
              </w:rPr>
              <w:br/>
              <w:t>Teeth</w:t>
            </w:r>
          </w:p>
        </w:tc>
        <w:tc>
          <w:tcPr>
            <w:tcW w:w="1080" w:type="dxa"/>
            <w:shd w:val="clear" w:color="auto" w:fill="auto"/>
            <w:noWrap/>
            <w:vAlign w:val="center"/>
            <w:hideMark/>
          </w:tcPr>
          <w:p w:rsidR="00051B4E" w:rsidRPr="000B45AA" w:rsidRDefault="00051B4E" w:rsidP="007E6823">
            <w:pPr>
              <w:jc w:val="center"/>
              <w:rPr>
                <w:b/>
                <w:bCs/>
                <w:sz w:val="20"/>
                <w:szCs w:val="20"/>
              </w:rPr>
            </w:pPr>
            <w:r w:rsidRPr="000B45AA">
              <w:rPr>
                <w:b/>
                <w:bCs/>
                <w:sz w:val="20"/>
                <w:szCs w:val="20"/>
              </w:rPr>
              <w:t>Maxilla</w:t>
            </w:r>
          </w:p>
        </w:tc>
        <w:tc>
          <w:tcPr>
            <w:tcW w:w="1080" w:type="dxa"/>
            <w:shd w:val="clear" w:color="auto" w:fill="auto"/>
            <w:noWrap/>
            <w:vAlign w:val="center"/>
            <w:hideMark/>
          </w:tcPr>
          <w:p w:rsidR="00051B4E" w:rsidRPr="000B45AA" w:rsidRDefault="00051B4E" w:rsidP="007E6823">
            <w:pPr>
              <w:jc w:val="center"/>
              <w:rPr>
                <w:b/>
                <w:bCs/>
                <w:sz w:val="20"/>
                <w:szCs w:val="20"/>
              </w:rPr>
            </w:pPr>
            <w:r w:rsidRPr="000B45AA">
              <w:rPr>
                <w:b/>
                <w:bCs/>
                <w:sz w:val="20"/>
                <w:szCs w:val="20"/>
              </w:rPr>
              <w:t>Mandible</w:t>
            </w:r>
          </w:p>
        </w:tc>
        <w:tc>
          <w:tcPr>
            <w:tcW w:w="1080" w:type="dxa"/>
            <w:shd w:val="clear" w:color="auto" w:fill="auto"/>
            <w:noWrap/>
            <w:vAlign w:val="center"/>
            <w:hideMark/>
          </w:tcPr>
          <w:p w:rsidR="00051B4E" w:rsidRPr="000B45AA" w:rsidRDefault="00051B4E" w:rsidP="007E6823">
            <w:pPr>
              <w:jc w:val="center"/>
              <w:rPr>
                <w:b/>
                <w:bCs/>
                <w:sz w:val="20"/>
                <w:szCs w:val="20"/>
              </w:rPr>
            </w:pPr>
            <w:r w:rsidRPr="000B45AA">
              <w:rPr>
                <w:b/>
                <w:bCs/>
                <w:sz w:val="20"/>
                <w:szCs w:val="20"/>
              </w:rPr>
              <w:t>Anterior</w:t>
            </w:r>
          </w:p>
        </w:tc>
        <w:tc>
          <w:tcPr>
            <w:tcW w:w="1080" w:type="dxa"/>
            <w:shd w:val="clear" w:color="auto" w:fill="auto"/>
            <w:noWrap/>
            <w:vAlign w:val="center"/>
            <w:hideMark/>
          </w:tcPr>
          <w:p w:rsidR="00051B4E" w:rsidRPr="000B45AA" w:rsidRDefault="00051B4E" w:rsidP="007E6823">
            <w:pPr>
              <w:jc w:val="center"/>
              <w:rPr>
                <w:b/>
                <w:bCs/>
                <w:sz w:val="20"/>
                <w:szCs w:val="20"/>
              </w:rPr>
            </w:pPr>
            <w:r w:rsidRPr="000B45AA">
              <w:rPr>
                <w:b/>
                <w:bCs/>
                <w:sz w:val="20"/>
                <w:szCs w:val="20"/>
              </w:rPr>
              <w:t xml:space="preserve">Premolar / </w:t>
            </w:r>
            <w:r w:rsidRPr="000B45AA">
              <w:rPr>
                <w:b/>
                <w:bCs/>
                <w:sz w:val="20"/>
                <w:szCs w:val="20"/>
              </w:rPr>
              <w:br/>
              <w:t>Bicuspids</w:t>
            </w:r>
          </w:p>
        </w:tc>
        <w:tc>
          <w:tcPr>
            <w:tcW w:w="990" w:type="dxa"/>
            <w:shd w:val="clear" w:color="auto" w:fill="auto"/>
            <w:noWrap/>
            <w:vAlign w:val="center"/>
            <w:hideMark/>
          </w:tcPr>
          <w:p w:rsidR="00051B4E" w:rsidRPr="000B45AA" w:rsidRDefault="00051B4E" w:rsidP="007E6823">
            <w:pPr>
              <w:jc w:val="center"/>
              <w:rPr>
                <w:b/>
                <w:bCs/>
                <w:sz w:val="20"/>
                <w:szCs w:val="20"/>
              </w:rPr>
            </w:pPr>
            <w:r w:rsidRPr="000B45AA">
              <w:rPr>
                <w:b/>
                <w:bCs/>
                <w:sz w:val="20"/>
                <w:szCs w:val="20"/>
              </w:rPr>
              <w:t>Molar</w:t>
            </w:r>
          </w:p>
        </w:tc>
        <w:tc>
          <w:tcPr>
            <w:tcW w:w="1080" w:type="dxa"/>
            <w:shd w:val="clear" w:color="auto" w:fill="auto"/>
            <w:noWrap/>
            <w:vAlign w:val="center"/>
            <w:hideMark/>
          </w:tcPr>
          <w:p w:rsidR="00051B4E" w:rsidRPr="000B45AA" w:rsidRDefault="00051B4E" w:rsidP="007E6823">
            <w:pPr>
              <w:jc w:val="center"/>
              <w:rPr>
                <w:b/>
                <w:bCs/>
                <w:sz w:val="20"/>
                <w:szCs w:val="20"/>
              </w:rPr>
            </w:pPr>
            <w:proofErr w:type="spellStart"/>
            <w:r w:rsidRPr="000B45AA">
              <w:rPr>
                <w:b/>
                <w:bCs/>
                <w:sz w:val="20"/>
                <w:szCs w:val="20"/>
              </w:rPr>
              <w:t>Disto</w:t>
            </w:r>
            <w:proofErr w:type="spellEnd"/>
            <w:r w:rsidR="00494AA8" w:rsidRPr="000B45AA">
              <w:rPr>
                <w:b/>
                <w:bCs/>
                <w:sz w:val="20"/>
                <w:szCs w:val="20"/>
              </w:rPr>
              <w:t>-</w:t>
            </w:r>
            <w:r w:rsidRPr="000B45AA">
              <w:rPr>
                <w:b/>
                <w:bCs/>
                <w:sz w:val="20"/>
                <w:szCs w:val="20"/>
              </w:rPr>
              <w:t>molars</w:t>
            </w:r>
          </w:p>
        </w:tc>
        <w:tc>
          <w:tcPr>
            <w:tcW w:w="990" w:type="dxa"/>
            <w:shd w:val="clear" w:color="auto" w:fill="auto"/>
            <w:noWrap/>
            <w:vAlign w:val="center"/>
            <w:hideMark/>
          </w:tcPr>
          <w:p w:rsidR="00051B4E" w:rsidRPr="000B45AA" w:rsidRDefault="00051B4E" w:rsidP="007E6823">
            <w:pPr>
              <w:jc w:val="center"/>
              <w:rPr>
                <w:b/>
                <w:bCs/>
                <w:sz w:val="20"/>
                <w:szCs w:val="20"/>
              </w:rPr>
            </w:pPr>
            <w:proofErr w:type="spellStart"/>
            <w:r w:rsidRPr="000B45AA">
              <w:rPr>
                <w:b/>
                <w:bCs/>
                <w:sz w:val="20"/>
                <w:szCs w:val="20"/>
              </w:rPr>
              <w:t>Mesiodens</w:t>
            </w:r>
            <w:proofErr w:type="spellEnd"/>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Desai &amp; Shah</w:t>
            </w:r>
            <w:r w:rsidRPr="000B45AA">
              <w:rPr>
                <w:sz w:val="20"/>
                <w:szCs w:val="20"/>
                <w:vertAlign w:val="superscript"/>
              </w:rPr>
              <w:t>41</w:t>
            </w:r>
            <w:r w:rsidRPr="000B45AA">
              <w:rPr>
                <w:sz w:val="20"/>
                <w:szCs w:val="20"/>
              </w:rPr>
              <w:t>,</w:t>
            </w:r>
            <w:r w:rsidR="0052209F" w:rsidRPr="000B45AA">
              <w:rPr>
                <w:sz w:val="20"/>
                <w:szCs w:val="20"/>
              </w:rPr>
              <w:t xml:space="preserve"> </w:t>
            </w:r>
            <w:r w:rsidRPr="000B45AA">
              <w:rPr>
                <w:sz w:val="20"/>
                <w:szCs w:val="20"/>
              </w:rPr>
              <w:t>1998</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M,36</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9</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1</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vertAlign w:val="superscript"/>
              </w:rPr>
            </w:pPr>
            <w:r w:rsidRPr="000B45AA">
              <w:rPr>
                <w:sz w:val="20"/>
                <w:szCs w:val="20"/>
              </w:rPr>
              <w:t>Desai &amp; Shah</w:t>
            </w:r>
            <w:r w:rsidRPr="000B45AA">
              <w:rPr>
                <w:sz w:val="20"/>
                <w:szCs w:val="20"/>
                <w:vertAlign w:val="superscript"/>
              </w:rPr>
              <w:t>41</w:t>
            </w:r>
            <w:r w:rsidRPr="000B45AA">
              <w:rPr>
                <w:sz w:val="20"/>
                <w:szCs w:val="20"/>
              </w:rPr>
              <w:t>,</w:t>
            </w:r>
            <w:r w:rsidR="0052209F" w:rsidRPr="000B45AA">
              <w:rPr>
                <w:sz w:val="20"/>
                <w:szCs w:val="20"/>
              </w:rPr>
              <w:t xml:space="preserve"> </w:t>
            </w:r>
            <w:r w:rsidRPr="000B45AA">
              <w:rPr>
                <w:sz w:val="20"/>
                <w:szCs w:val="20"/>
              </w:rPr>
              <w:t>1998</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M,25</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Mercury &amp; O'Neil</w:t>
            </w:r>
            <w:r w:rsidRPr="000B45AA">
              <w:rPr>
                <w:sz w:val="20"/>
                <w:szCs w:val="20"/>
                <w:vertAlign w:val="superscript"/>
              </w:rPr>
              <w:t>42</w:t>
            </w:r>
            <w:r w:rsidRPr="000B45AA">
              <w:rPr>
                <w:sz w:val="20"/>
                <w:szCs w:val="20"/>
              </w:rPr>
              <w:t>,</w:t>
            </w:r>
            <w:r w:rsidR="0052209F" w:rsidRPr="000B45AA">
              <w:rPr>
                <w:sz w:val="20"/>
                <w:szCs w:val="20"/>
              </w:rPr>
              <w:t xml:space="preserve"> </w:t>
            </w:r>
            <w:r w:rsidRPr="000B45AA">
              <w:rPr>
                <w:sz w:val="20"/>
                <w:szCs w:val="20"/>
              </w:rPr>
              <w:t>1998</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F,17</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11</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1</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proofErr w:type="spellStart"/>
            <w:r w:rsidRPr="000B45AA">
              <w:rPr>
                <w:sz w:val="20"/>
                <w:szCs w:val="20"/>
              </w:rPr>
              <w:t>Rizzuti</w:t>
            </w:r>
            <w:proofErr w:type="spellEnd"/>
            <w:r w:rsidRPr="000B45AA">
              <w:rPr>
                <w:sz w:val="20"/>
                <w:szCs w:val="20"/>
              </w:rPr>
              <w:t xml:space="preserve"> &amp; Scotti</w:t>
            </w:r>
            <w:r w:rsidRPr="000B45AA">
              <w:rPr>
                <w:sz w:val="20"/>
                <w:szCs w:val="20"/>
                <w:vertAlign w:val="superscript"/>
              </w:rPr>
              <w:t>43</w:t>
            </w:r>
            <w:r w:rsidRPr="000B45AA">
              <w:rPr>
                <w:sz w:val="20"/>
                <w:szCs w:val="20"/>
              </w:rPr>
              <w:t>,</w:t>
            </w:r>
            <w:r w:rsidR="0052209F" w:rsidRPr="000B45AA">
              <w:rPr>
                <w:sz w:val="20"/>
                <w:szCs w:val="20"/>
              </w:rPr>
              <w:t xml:space="preserve"> </w:t>
            </w:r>
            <w:r w:rsidRPr="000B45AA">
              <w:rPr>
                <w:sz w:val="20"/>
                <w:szCs w:val="20"/>
              </w:rPr>
              <w:t>1997</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M,10</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22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11</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11</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9</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Mason et al.</w:t>
            </w:r>
            <w:r w:rsidRPr="000B45AA">
              <w:rPr>
                <w:sz w:val="20"/>
                <w:szCs w:val="20"/>
                <w:vertAlign w:val="superscript"/>
              </w:rPr>
              <w:t>44</w:t>
            </w:r>
            <w:r w:rsidRPr="000B45AA">
              <w:rPr>
                <w:sz w:val="20"/>
                <w:szCs w:val="20"/>
              </w:rPr>
              <w:t>,</w:t>
            </w:r>
            <w:r w:rsidR="0052209F" w:rsidRPr="000B45AA">
              <w:rPr>
                <w:sz w:val="20"/>
                <w:szCs w:val="20"/>
              </w:rPr>
              <w:t xml:space="preserve"> </w:t>
            </w:r>
            <w:r w:rsidRPr="000B45AA">
              <w:rPr>
                <w:sz w:val="20"/>
                <w:szCs w:val="20"/>
              </w:rPr>
              <w:t>1996</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M,15</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11</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Mason et al.</w:t>
            </w:r>
            <w:r w:rsidRPr="000B45AA">
              <w:rPr>
                <w:sz w:val="20"/>
                <w:szCs w:val="20"/>
                <w:vertAlign w:val="superscript"/>
              </w:rPr>
              <w:t>44</w:t>
            </w:r>
            <w:r w:rsidRPr="000B45AA">
              <w:rPr>
                <w:sz w:val="20"/>
                <w:szCs w:val="20"/>
              </w:rPr>
              <w:t>,</w:t>
            </w:r>
            <w:r w:rsidR="0052209F" w:rsidRPr="000B45AA">
              <w:rPr>
                <w:sz w:val="20"/>
                <w:szCs w:val="20"/>
              </w:rPr>
              <w:t xml:space="preserve"> </w:t>
            </w:r>
            <w:r w:rsidRPr="000B45AA">
              <w:rPr>
                <w:sz w:val="20"/>
                <w:szCs w:val="20"/>
              </w:rPr>
              <w:t>1996</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F,12</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1</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Mason et al.</w:t>
            </w:r>
            <w:r w:rsidRPr="000B45AA">
              <w:rPr>
                <w:sz w:val="20"/>
                <w:szCs w:val="20"/>
                <w:vertAlign w:val="superscript"/>
              </w:rPr>
              <w:t>44</w:t>
            </w:r>
            <w:r w:rsidRPr="000B45AA">
              <w:rPr>
                <w:sz w:val="20"/>
                <w:szCs w:val="20"/>
              </w:rPr>
              <w:t>,</w:t>
            </w:r>
            <w:r w:rsidR="0052209F" w:rsidRPr="000B45AA">
              <w:rPr>
                <w:sz w:val="20"/>
                <w:szCs w:val="20"/>
              </w:rPr>
              <w:t xml:space="preserve"> </w:t>
            </w:r>
            <w:r w:rsidRPr="000B45AA">
              <w:rPr>
                <w:sz w:val="20"/>
                <w:szCs w:val="20"/>
              </w:rPr>
              <w:t>1996</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M,15</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Hopcraft.</w:t>
            </w:r>
            <w:r w:rsidRPr="000B45AA">
              <w:rPr>
                <w:sz w:val="20"/>
                <w:szCs w:val="20"/>
                <w:vertAlign w:val="superscript"/>
              </w:rPr>
              <w:t>45</w:t>
            </w:r>
            <w:r w:rsidRPr="000B45AA">
              <w:rPr>
                <w:sz w:val="20"/>
                <w:szCs w:val="20"/>
              </w:rPr>
              <w:t>,1996</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M,18</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King et al.</w:t>
            </w:r>
            <w:r w:rsidRPr="000B45AA">
              <w:rPr>
                <w:sz w:val="20"/>
                <w:szCs w:val="20"/>
                <w:vertAlign w:val="superscript"/>
              </w:rPr>
              <w:t>46</w:t>
            </w:r>
            <w:r w:rsidRPr="000B45AA">
              <w:rPr>
                <w:sz w:val="20"/>
                <w:szCs w:val="20"/>
              </w:rPr>
              <w:t>,1993</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F,13</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King et al.</w:t>
            </w:r>
            <w:r w:rsidRPr="000B45AA">
              <w:rPr>
                <w:sz w:val="20"/>
                <w:szCs w:val="20"/>
                <w:vertAlign w:val="superscript"/>
              </w:rPr>
              <w:t>46</w:t>
            </w:r>
            <w:r w:rsidRPr="000B45AA">
              <w:rPr>
                <w:sz w:val="20"/>
                <w:szCs w:val="20"/>
              </w:rPr>
              <w:t>,1993</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M,18</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King et al.</w:t>
            </w:r>
            <w:r w:rsidRPr="000B45AA">
              <w:rPr>
                <w:sz w:val="20"/>
                <w:szCs w:val="20"/>
                <w:vertAlign w:val="superscript"/>
              </w:rPr>
              <w:t>46</w:t>
            </w:r>
            <w:r w:rsidRPr="000B45AA">
              <w:rPr>
                <w:sz w:val="20"/>
                <w:szCs w:val="20"/>
              </w:rPr>
              <w:t>,1993</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M,30</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lastRenderedPageBreak/>
              <w:t>Reichart</w:t>
            </w:r>
            <w:r w:rsidRPr="000B45AA">
              <w:rPr>
                <w:sz w:val="20"/>
                <w:szCs w:val="20"/>
                <w:vertAlign w:val="superscript"/>
              </w:rPr>
              <w:t>47</w:t>
            </w:r>
            <w:r w:rsidRPr="000B45AA">
              <w:rPr>
                <w:sz w:val="20"/>
                <w:szCs w:val="20"/>
              </w:rPr>
              <w:t>,1992</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M,18</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Yucel</w:t>
            </w:r>
            <w:r w:rsidRPr="000B45AA">
              <w:rPr>
                <w:sz w:val="20"/>
                <w:szCs w:val="20"/>
                <w:vertAlign w:val="superscript"/>
              </w:rPr>
              <w:t>48</w:t>
            </w:r>
            <w:r w:rsidRPr="000B45AA">
              <w:rPr>
                <w:sz w:val="20"/>
                <w:szCs w:val="20"/>
              </w:rPr>
              <w:t>,1992</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M,22</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proofErr w:type="spellStart"/>
            <w:r w:rsidRPr="000B45AA">
              <w:rPr>
                <w:sz w:val="20"/>
                <w:szCs w:val="20"/>
              </w:rPr>
              <w:t>Yusof</w:t>
            </w:r>
            <w:proofErr w:type="spellEnd"/>
            <w:r w:rsidRPr="000B45AA">
              <w:rPr>
                <w:sz w:val="20"/>
                <w:szCs w:val="20"/>
              </w:rPr>
              <w:t xml:space="preserve"> &amp; Awang</w:t>
            </w:r>
            <w:r w:rsidRPr="000B45AA">
              <w:rPr>
                <w:sz w:val="20"/>
                <w:szCs w:val="20"/>
                <w:vertAlign w:val="superscript"/>
              </w:rPr>
              <w:t>59</w:t>
            </w:r>
            <w:r w:rsidRPr="000B45AA">
              <w:rPr>
                <w:sz w:val="20"/>
                <w:szCs w:val="20"/>
              </w:rPr>
              <w:t>,</w:t>
            </w:r>
            <w:r w:rsidR="0052209F" w:rsidRPr="000B45AA">
              <w:rPr>
                <w:sz w:val="20"/>
                <w:szCs w:val="20"/>
              </w:rPr>
              <w:t xml:space="preserve"> </w:t>
            </w:r>
            <w:r w:rsidRPr="000B45AA">
              <w:rPr>
                <w:sz w:val="20"/>
                <w:szCs w:val="20"/>
              </w:rPr>
              <w:t>1990</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M,24</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11</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11</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vertAlign w:val="superscript"/>
              </w:rPr>
            </w:pPr>
            <w:proofErr w:type="spellStart"/>
            <w:r w:rsidRPr="000B45AA">
              <w:rPr>
                <w:sz w:val="20"/>
                <w:szCs w:val="20"/>
              </w:rPr>
              <w:t>Yusof</w:t>
            </w:r>
            <w:proofErr w:type="spellEnd"/>
            <w:r w:rsidRPr="000B45AA">
              <w:rPr>
                <w:sz w:val="20"/>
                <w:szCs w:val="20"/>
              </w:rPr>
              <w:t xml:space="preserve"> &amp; Awang</w:t>
            </w:r>
            <w:r w:rsidRPr="000B45AA">
              <w:rPr>
                <w:sz w:val="20"/>
                <w:szCs w:val="20"/>
                <w:vertAlign w:val="superscript"/>
              </w:rPr>
              <w:t>59</w:t>
            </w:r>
            <w:r w:rsidRPr="000B45AA">
              <w:rPr>
                <w:sz w:val="20"/>
                <w:szCs w:val="20"/>
              </w:rPr>
              <w:t>,1990</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F,22</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proofErr w:type="spellStart"/>
            <w:r w:rsidRPr="000B45AA">
              <w:rPr>
                <w:sz w:val="20"/>
                <w:szCs w:val="20"/>
              </w:rPr>
              <w:t>Fitzgerrald</w:t>
            </w:r>
            <w:proofErr w:type="spellEnd"/>
            <w:r w:rsidRPr="000B45AA">
              <w:rPr>
                <w:sz w:val="20"/>
                <w:szCs w:val="20"/>
              </w:rPr>
              <w:t xml:space="preserve"> &amp; Zallen</w:t>
            </w:r>
            <w:r w:rsidRPr="000B45AA">
              <w:rPr>
                <w:sz w:val="20"/>
                <w:szCs w:val="20"/>
                <w:vertAlign w:val="superscript"/>
              </w:rPr>
              <w:t>49</w:t>
            </w:r>
            <w:r w:rsidRPr="000B45AA">
              <w:rPr>
                <w:sz w:val="20"/>
                <w:szCs w:val="20"/>
              </w:rPr>
              <w:t>,</w:t>
            </w:r>
            <w:r w:rsidR="0052209F" w:rsidRPr="000B45AA">
              <w:rPr>
                <w:sz w:val="20"/>
                <w:szCs w:val="20"/>
              </w:rPr>
              <w:t xml:space="preserve"> </w:t>
            </w:r>
            <w:r w:rsidRPr="000B45AA">
              <w:rPr>
                <w:sz w:val="20"/>
                <w:szCs w:val="20"/>
              </w:rPr>
              <w:t>1990</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M,20</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Acton</w:t>
            </w:r>
            <w:r w:rsidRPr="000B45AA">
              <w:rPr>
                <w:sz w:val="20"/>
                <w:szCs w:val="20"/>
                <w:vertAlign w:val="superscript"/>
              </w:rPr>
              <w:t>50</w:t>
            </w:r>
            <w:r w:rsidRPr="000B45AA">
              <w:rPr>
                <w:sz w:val="20"/>
                <w:szCs w:val="20"/>
              </w:rPr>
              <w:t>,1987</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M,24</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Leslie</w:t>
            </w:r>
            <w:r w:rsidRPr="000B45AA">
              <w:rPr>
                <w:sz w:val="20"/>
                <w:szCs w:val="20"/>
                <w:vertAlign w:val="superscript"/>
              </w:rPr>
              <w:t>51</w:t>
            </w:r>
            <w:r w:rsidRPr="000B45AA">
              <w:rPr>
                <w:sz w:val="20"/>
                <w:szCs w:val="20"/>
              </w:rPr>
              <w:t>,1984</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M,25</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proofErr w:type="spellStart"/>
            <w:r w:rsidRPr="000B45AA">
              <w:rPr>
                <w:sz w:val="20"/>
                <w:szCs w:val="20"/>
              </w:rPr>
              <w:t>Rosenthaler</w:t>
            </w:r>
            <w:proofErr w:type="spellEnd"/>
            <w:r w:rsidRPr="000B45AA">
              <w:rPr>
                <w:sz w:val="20"/>
                <w:szCs w:val="20"/>
              </w:rPr>
              <w:t xml:space="preserve"> &amp; Berdeman</w:t>
            </w:r>
            <w:r w:rsidRPr="000B45AA">
              <w:rPr>
                <w:sz w:val="20"/>
                <w:szCs w:val="20"/>
                <w:vertAlign w:val="superscript"/>
              </w:rPr>
              <w:t>52</w:t>
            </w:r>
            <w:r w:rsidRPr="000B45AA">
              <w:rPr>
                <w:sz w:val="20"/>
                <w:szCs w:val="20"/>
              </w:rPr>
              <w:t>,1983</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F,26</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Stevenson &amp; Mckechnie</w:t>
            </w:r>
            <w:r w:rsidRPr="000B45AA">
              <w:rPr>
                <w:sz w:val="20"/>
                <w:szCs w:val="20"/>
                <w:vertAlign w:val="superscript"/>
              </w:rPr>
              <w:t>53</w:t>
            </w:r>
            <w:r w:rsidRPr="000B45AA">
              <w:rPr>
                <w:sz w:val="20"/>
                <w:szCs w:val="20"/>
              </w:rPr>
              <w:t>,1980</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M,10</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7</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proofErr w:type="spellStart"/>
            <w:r w:rsidRPr="000B45AA">
              <w:rPr>
                <w:sz w:val="20"/>
                <w:szCs w:val="20"/>
              </w:rPr>
              <w:t>Shusterman</w:t>
            </w:r>
            <w:proofErr w:type="spellEnd"/>
            <w:r w:rsidRPr="000B45AA">
              <w:rPr>
                <w:sz w:val="20"/>
                <w:szCs w:val="20"/>
              </w:rPr>
              <w:t xml:space="preserve"> et al.</w:t>
            </w:r>
            <w:r w:rsidRPr="000B45AA">
              <w:rPr>
                <w:sz w:val="20"/>
                <w:szCs w:val="20"/>
                <w:vertAlign w:val="superscript"/>
              </w:rPr>
              <w:t>54</w:t>
            </w:r>
            <w:r w:rsidRPr="000B45AA">
              <w:rPr>
                <w:sz w:val="20"/>
                <w:szCs w:val="20"/>
              </w:rPr>
              <w:t>,1978</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F,07</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Foley &amp; del Rio</w:t>
            </w:r>
            <w:r w:rsidRPr="000B45AA">
              <w:rPr>
                <w:sz w:val="20"/>
                <w:szCs w:val="20"/>
                <w:vertAlign w:val="superscript"/>
              </w:rPr>
              <w:t>55</w:t>
            </w:r>
            <w:r w:rsidRPr="000B45AA">
              <w:rPr>
                <w:sz w:val="20"/>
                <w:szCs w:val="20"/>
              </w:rPr>
              <w:t>,1978</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M,22</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Stevenson &amp; Mckechnie</w:t>
            </w:r>
            <w:r w:rsidRPr="000B45AA">
              <w:rPr>
                <w:sz w:val="20"/>
                <w:szCs w:val="20"/>
                <w:vertAlign w:val="superscript"/>
              </w:rPr>
              <w:t>56</w:t>
            </w:r>
            <w:r w:rsidRPr="000B45AA">
              <w:rPr>
                <w:sz w:val="20"/>
                <w:szCs w:val="20"/>
              </w:rPr>
              <w:t>,1975</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M,10</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11</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Barnett</w:t>
            </w:r>
            <w:r w:rsidRPr="000B45AA">
              <w:rPr>
                <w:sz w:val="20"/>
                <w:szCs w:val="20"/>
                <w:vertAlign w:val="superscript"/>
              </w:rPr>
              <w:t>57</w:t>
            </w:r>
            <w:r w:rsidRPr="000B45AA">
              <w:rPr>
                <w:sz w:val="20"/>
                <w:szCs w:val="20"/>
              </w:rPr>
              <w:t>,1974</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M,12</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4</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proofErr w:type="spellStart"/>
            <w:r w:rsidRPr="000B45AA">
              <w:rPr>
                <w:sz w:val="20"/>
                <w:szCs w:val="20"/>
              </w:rPr>
              <w:t>Finkel</w:t>
            </w:r>
            <w:proofErr w:type="spellEnd"/>
            <w:r w:rsidRPr="000B45AA">
              <w:rPr>
                <w:sz w:val="20"/>
                <w:szCs w:val="20"/>
              </w:rPr>
              <w:t xml:space="preserve"> et al.</w:t>
            </w:r>
            <w:r w:rsidRPr="000B45AA">
              <w:rPr>
                <w:sz w:val="20"/>
                <w:szCs w:val="20"/>
                <w:vertAlign w:val="superscript"/>
              </w:rPr>
              <w:t>58</w:t>
            </w:r>
            <w:r w:rsidRPr="000B45AA">
              <w:rPr>
                <w:sz w:val="20"/>
                <w:szCs w:val="20"/>
              </w:rPr>
              <w:t>,1974</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M,24</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9</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proofErr w:type="spellStart"/>
            <w:r w:rsidRPr="000B45AA">
              <w:rPr>
                <w:sz w:val="20"/>
                <w:szCs w:val="20"/>
              </w:rPr>
              <w:t>Ruhlman</w:t>
            </w:r>
            <w:proofErr w:type="spellEnd"/>
            <w:r w:rsidRPr="000B45AA">
              <w:rPr>
                <w:sz w:val="20"/>
                <w:szCs w:val="20"/>
              </w:rPr>
              <w:t xml:space="preserve"> &amp; Neely</w:t>
            </w:r>
            <w:r w:rsidRPr="000B45AA">
              <w:rPr>
                <w:sz w:val="20"/>
                <w:szCs w:val="20"/>
                <w:vertAlign w:val="superscript"/>
              </w:rPr>
              <w:t>59</w:t>
            </w:r>
            <w:r w:rsidRPr="000B45AA">
              <w:rPr>
                <w:sz w:val="20"/>
                <w:szCs w:val="20"/>
              </w:rPr>
              <w:t>,1964</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M,14</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9</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6</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0</w:t>
            </w:r>
          </w:p>
        </w:tc>
      </w:tr>
      <w:tr w:rsidR="00494AA8" w:rsidRPr="000B45AA" w:rsidTr="00494AA8">
        <w:trPr>
          <w:trHeight w:val="690"/>
        </w:trPr>
        <w:tc>
          <w:tcPr>
            <w:tcW w:w="1260" w:type="dxa"/>
            <w:shd w:val="clear" w:color="auto" w:fill="auto"/>
            <w:noWrap/>
            <w:vAlign w:val="center"/>
            <w:hideMark/>
          </w:tcPr>
          <w:p w:rsidR="00051B4E" w:rsidRPr="000B45AA" w:rsidRDefault="00051B4E" w:rsidP="007E6823">
            <w:pPr>
              <w:jc w:val="center"/>
              <w:rPr>
                <w:sz w:val="20"/>
                <w:szCs w:val="20"/>
              </w:rPr>
            </w:pPr>
            <w:r w:rsidRPr="000B45AA">
              <w:rPr>
                <w:sz w:val="20"/>
                <w:szCs w:val="20"/>
              </w:rPr>
              <w:t>Total Numbers</w:t>
            </w:r>
          </w:p>
        </w:tc>
        <w:tc>
          <w:tcPr>
            <w:tcW w:w="941" w:type="dxa"/>
            <w:shd w:val="clear" w:color="auto" w:fill="auto"/>
            <w:noWrap/>
            <w:vAlign w:val="center"/>
            <w:hideMark/>
          </w:tcPr>
          <w:p w:rsidR="00051B4E" w:rsidRPr="000B45AA" w:rsidRDefault="00051B4E" w:rsidP="007E6823">
            <w:pPr>
              <w:jc w:val="center"/>
              <w:rPr>
                <w:sz w:val="20"/>
                <w:szCs w:val="20"/>
              </w:rPr>
            </w:pPr>
            <w:r w:rsidRPr="000B45AA">
              <w:rPr>
                <w:sz w:val="20"/>
                <w:szCs w:val="20"/>
              </w:rPr>
              <w:t> </w:t>
            </w:r>
          </w:p>
        </w:tc>
        <w:tc>
          <w:tcPr>
            <w:tcW w:w="1129" w:type="dxa"/>
            <w:gridSpan w:val="2"/>
            <w:shd w:val="clear" w:color="auto" w:fill="auto"/>
            <w:noWrap/>
            <w:vAlign w:val="center"/>
            <w:hideMark/>
          </w:tcPr>
          <w:p w:rsidR="00051B4E" w:rsidRPr="000B45AA" w:rsidRDefault="00051B4E" w:rsidP="007E6823">
            <w:pPr>
              <w:jc w:val="center"/>
              <w:rPr>
                <w:sz w:val="20"/>
                <w:szCs w:val="20"/>
              </w:rPr>
            </w:pPr>
            <w:r w:rsidRPr="000B45AA">
              <w:rPr>
                <w:sz w:val="20"/>
                <w:szCs w:val="20"/>
              </w:rPr>
              <w:t>525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220</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305</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73</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370</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57</w:t>
            </w:r>
          </w:p>
        </w:tc>
        <w:tc>
          <w:tcPr>
            <w:tcW w:w="1080" w:type="dxa"/>
            <w:shd w:val="clear" w:color="auto" w:fill="auto"/>
            <w:noWrap/>
            <w:vAlign w:val="center"/>
            <w:hideMark/>
          </w:tcPr>
          <w:p w:rsidR="00051B4E" w:rsidRPr="000B45AA" w:rsidRDefault="00051B4E" w:rsidP="007E6823">
            <w:pPr>
              <w:jc w:val="center"/>
              <w:rPr>
                <w:sz w:val="20"/>
                <w:szCs w:val="20"/>
              </w:rPr>
            </w:pPr>
            <w:r w:rsidRPr="000B45AA">
              <w:rPr>
                <w:sz w:val="20"/>
                <w:szCs w:val="20"/>
              </w:rPr>
              <w:t>17</w:t>
            </w:r>
          </w:p>
        </w:tc>
        <w:tc>
          <w:tcPr>
            <w:tcW w:w="990" w:type="dxa"/>
            <w:shd w:val="clear" w:color="auto" w:fill="auto"/>
            <w:noWrap/>
            <w:vAlign w:val="center"/>
            <w:hideMark/>
          </w:tcPr>
          <w:p w:rsidR="00051B4E" w:rsidRPr="000B45AA" w:rsidRDefault="00051B4E" w:rsidP="007E6823">
            <w:pPr>
              <w:jc w:val="center"/>
              <w:rPr>
                <w:sz w:val="20"/>
                <w:szCs w:val="20"/>
              </w:rPr>
            </w:pPr>
            <w:r w:rsidRPr="000B45AA">
              <w:rPr>
                <w:sz w:val="20"/>
                <w:szCs w:val="20"/>
              </w:rPr>
              <w:t>8</w:t>
            </w:r>
          </w:p>
        </w:tc>
      </w:tr>
    </w:tbl>
    <w:p w:rsidR="00D56A17" w:rsidRPr="000B45AA" w:rsidRDefault="00D56A17" w:rsidP="007E6823">
      <w:pPr>
        <w:spacing w:line="480" w:lineRule="auto"/>
        <w:jc w:val="center"/>
      </w:pPr>
    </w:p>
    <w:p w:rsidR="00D56A17" w:rsidRPr="000B45AA" w:rsidRDefault="00D56A17" w:rsidP="007E6823">
      <w:pPr>
        <w:spacing w:line="480" w:lineRule="auto"/>
        <w:rPr>
          <w:b/>
        </w:rPr>
      </w:pPr>
    </w:p>
    <w:p w:rsidR="00D56A17" w:rsidRPr="000B45AA" w:rsidRDefault="00D56A17" w:rsidP="007E6823">
      <w:pPr>
        <w:spacing w:line="480" w:lineRule="auto"/>
        <w:rPr>
          <w:b/>
        </w:rPr>
      </w:pPr>
    </w:p>
    <w:p w:rsidR="00D56A17" w:rsidRPr="000B45AA" w:rsidRDefault="00D56A17" w:rsidP="007E6823">
      <w:pPr>
        <w:spacing w:line="480" w:lineRule="auto"/>
        <w:rPr>
          <w:b/>
        </w:rPr>
      </w:pPr>
    </w:p>
    <w:p w:rsidR="00D56A17" w:rsidRPr="000B45AA" w:rsidRDefault="00D56A17" w:rsidP="007E6823">
      <w:pPr>
        <w:spacing w:line="480" w:lineRule="auto"/>
        <w:rPr>
          <w:b/>
        </w:rPr>
      </w:pPr>
    </w:p>
    <w:p w:rsidR="0052209F" w:rsidRPr="000B45AA" w:rsidRDefault="0052209F">
      <w:pPr>
        <w:rPr>
          <w:b/>
        </w:rPr>
      </w:pPr>
      <w:r w:rsidRPr="000B45AA">
        <w:rPr>
          <w:b/>
        </w:rPr>
        <w:br w:type="page"/>
      </w:r>
    </w:p>
    <w:p w:rsidR="00D56A17" w:rsidRPr="000B45AA" w:rsidRDefault="00D56A17" w:rsidP="007E6823">
      <w:pPr>
        <w:spacing w:line="480" w:lineRule="auto"/>
        <w:rPr>
          <w:b/>
        </w:rPr>
      </w:pPr>
      <w:r w:rsidRPr="000B45AA">
        <w:rPr>
          <w:b/>
        </w:rPr>
        <w:lastRenderedPageBreak/>
        <w:t>Table 2: Percentage of Occurrences of Supernumerary in Data Set</w:t>
      </w:r>
    </w:p>
    <w:p w:rsidR="00D56A17" w:rsidRPr="000B45AA" w:rsidRDefault="00D56A17" w:rsidP="007E6823">
      <w:pPr>
        <w:spacing w:line="480" w:lineRule="auto"/>
        <w:rPr>
          <w:b/>
        </w:rPr>
      </w:pPr>
    </w:p>
    <w:tbl>
      <w:tblPr>
        <w:tblW w:w="72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203"/>
        <w:gridCol w:w="1109"/>
        <w:gridCol w:w="1189"/>
        <w:gridCol w:w="976"/>
        <w:gridCol w:w="1363"/>
        <w:gridCol w:w="1296"/>
      </w:tblGrid>
      <w:tr w:rsidR="00D56A17" w:rsidRPr="000B45AA" w:rsidTr="00C02194">
        <w:trPr>
          <w:trHeight w:val="300"/>
          <w:jc w:val="center"/>
        </w:trPr>
        <w:tc>
          <w:tcPr>
            <w:tcW w:w="836" w:type="dxa"/>
            <w:shd w:val="clear" w:color="auto" w:fill="auto"/>
            <w:noWrap/>
            <w:vAlign w:val="center"/>
            <w:hideMark/>
          </w:tcPr>
          <w:p w:rsidR="00D56A17" w:rsidRPr="000B45AA" w:rsidRDefault="00D56A17" w:rsidP="007E6823">
            <w:pPr>
              <w:spacing w:line="480" w:lineRule="auto"/>
              <w:jc w:val="center"/>
              <w:rPr>
                <w:b/>
                <w:bCs/>
              </w:rPr>
            </w:pPr>
            <w:r w:rsidRPr="000B45AA">
              <w:rPr>
                <w:b/>
                <w:bCs/>
              </w:rPr>
              <w:t>Maxilla</w:t>
            </w:r>
          </w:p>
        </w:tc>
        <w:tc>
          <w:tcPr>
            <w:tcW w:w="976" w:type="dxa"/>
            <w:shd w:val="clear" w:color="auto" w:fill="auto"/>
            <w:noWrap/>
            <w:vAlign w:val="center"/>
            <w:hideMark/>
          </w:tcPr>
          <w:p w:rsidR="00D56A17" w:rsidRPr="000B45AA" w:rsidRDefault="00D56A17" w:rsidP="007E6823">
            <w:pPr>
              <w:spacing w:line="480" w:lineRule="auto"/>
              <w:jc w:val="center"/>
              <w:rPr>
                <w:b/>
                <w:bCs/>
              </w:rPr>
            </w:pPr>
            <w:r w:rsidRPr="000B45AA">
              <w:rPr>
                <w:b/>
                <w:bCs/>
              </w:rPr>
              <w:t>Mandible</w:t>
            </w:r>
          </w:p>
        </w:tc>
        <w:tc>
          <w:tcPr>
            <w:tcW w:w="976" w:type="dxa"/>
            <w:shd w:val="clear" w:color="auto" w:fill="auto"/>
            <w:noWrap/>
            <w:vAlign w:val="center"/>
            <w:hideMark/>
          </w:tcPr>
          <w:p w:rsidR="00D56A17" w:rsidRPr="000B45AA" w:rsidRDefault="00D56A17" w:rsidP="007E6823">
            <w:pPr>
              <w:spacing w:line="480" w:lineRule="auto"/>
              <w:jc w:val="center"/>
              <w:rPr>
                <w:b/>
                <w:bCs/>
              </w:rPr>
            </w:pPr>
            <w:r w:rsidRPr="000B45AA">
              <w:rPr>
                <w:b/>
                <w:bCs/>
              </w:rPr>
              <w:t>Anterior</w:t>
            </w:r>
          </w:p>
        </w:tc>
        <w:tc>
          <w:tcPr>
            <w:tcW w:w="1136" w:type="dxa"/>
            <w:shd w:val="clear" w:color="auto" w:fill="auto"/>
            <w:noWrap/>
            <w:vAlign w:val="center"/>
            <w:hideMark/>
          </w:tcPr>
          <w:p w:rsidR="00D56A17" w:rsidRPr="000B45AA" w:rsidRDefault="00D56A17" w:rsidP="007E6823">
            <w:pPr>
              <w:spacing w:line="480" w:lineRule="auto"/>
              <w:jc w:val="center"/>
              <w:rPr>
                <w:b/>
                <w:bCs/>
              </w:rPr>
            </w:pPr>
            <w:r w:rsidRPr="000B45AA">
              <w:rPr>
                <w:b/>
                <w:bCs/>
              </w:rPr>
              <w:t>Premolar</w:t>
            </w:r>
          </w:p>
        </w:tc>
        <w:tc>
          <w:tcPr>
            <w:tcW w:w="976" w:type="dxa"/>
            <w:shd w:val="clear" w:color="auto" w:fill="auto"/>
            <w:noWrap/>
            <w:vAlign w:val="center"/>
            <w:hideMark/>
          </w:tcPr>
          <w:p w:rsidR="00D56A17" w:rsidRPr="000B45AA" w:rsidRDefault="00D56A17" w:rsidP="007E6823">
            <w:pPr>
              <w:spacing w:line="480" w:lineRule="auto"/>
              <w:jc w:val="center"/>
              <w:rPr>
                <w:b/>
                <w:bCs/>
              </w:rPr>
            </w:pPr>
            <w:r w:rsidRPr="000B45AA">
              <w:rPr>
                <w:b/>
                <w:bCs/>
              </w:rPr>
              <w:t>Molar</w:t>
            </w:r>
          </w:p>
        </w:tc>
        <w:tc>
          <w:tcPr>
            <w:tcW w:w="1236" w:type="dxa"/>
            <w:shd w:val="clear" w:color="auto" w:fill="auto"/>
            <w:noWrap/>
            <w:vAlign w:val="center"/>
            <w:hideMark/>
          </w:tcPr>
          <w:p w:rsidR="00D56A17" w:rsidRPr="000B45AA" w:rsidRDefault="00D56A17" w:rsidP="007E6823">
            <w:pPr>
              <w:spacing w:line="480" w:lineRule="auto"/>
              <w:jc w:val="center"/>
              <w:rPr>
                <w:b/>
                <w:bCs/>
              </w:rPr>
            </w:pPr>
            <w:proofErr w:type="spellStart"/>
            <w:r w:rsidRPr="000B45AA">
              <w:rPr>
                <w:b/>
                <w:bCs/>
              </w:rPr>
              <w:t>Distomolar</w:t>
            </w:r>
            <w:proofErr w:type="spellEnd"/>
          </w:p>
        </w:tc>
        <w:tc>
          <w:tcPr>
            <w:tcW w:w="1136" w:type="dxa"/>
            <w:shd w:val="clear" w:color="auto" w:fill="auto"/>
            <w:noWrap/>
            <w:vAlign w:val="center"/>
            <w:hideMark/>
          </w:tcPr>
          <w:p w:rsidR="00D56A17" w:rsidRPr="000B45AA" w:rsidRDefault="00D56A17" w:rsidP="007E6823">
            <w:pPr>
              <w:spacing w:line="480" w:lineRule="auto"/>
              <w:jc w:val="center"/>
              <w:rPr>
                <w:b/>
                <w:bCs/>
              </w:rPr>
            </w:pPr>
            <w:proofErr w:type="spellStart"/>
            <w:r w:rsidRPr="000B45AA">
              <w:rPr>
                <w:b/>
                <w:bCs/>
              </w:rPr>
              <w:t>Mesiodens</w:t>
            </w:r>
            <w:proofErr w:type="spellEnd"/>
          </w:p>
        </w:tc>
      </w:tr>
      <w:tr w:rsidR="00D56A17" w:rsidRPr="000B45AA" w:rsidTr="00C02194">
        <w:trPr>
          <w:trHeight w:val="300"/>
          <w:jc w:val="center"/>
        </w:trPr>
        <w:tc>
          <w:tcPr>
            <w:tcW w:w="836" w:type="dxa"/>
            <w:shd w:val="clear" w:color="auto" w:fill="auto"/>
            <w:noWrap/>
            <w:vAlign w:val="center"/>
            <w:hideMark/>
          </w:tcPr>
          <w:p w:rsidR="00D56A17" w:rsidRPr="000B45AA" w:rsidRDefault="00D56A17" w:rsidP="007E6823">
            <w:pPr>
              <w:spacing w:line="480" w:lineRule="auto"/>
              <w:jc w:val="center"/>
              <w:rPr>
                <w:bCs/>
              </w:rPr>
            </w:pPr>
            <w:r w:rsidRPr="000B45AA">
              <w:rPr>
                <w:bCs/>
              </w:rPr>
              <w:t>41.90%</w:t>
            </w:r>
          </w:p>
        </w:tc>
        <w:tc>
          <w:tcPr>
            <w:tcW w:w="976" w:type="dxa"/>
            <w:shd w:val="clear" w:color="auto" w:fill="auto"/>
            <w:noWrap/>
            <w:vAlign w:val="center"/>
            <w:hideMark/>
          </w:tcPr>
          <w:p w:rsidR="00D56A17" w:rsidRPr="000B45AA" w:rsidRDefault="00D56A17" w:rsidP="007E6823">
            <w:pPr>
              <w:spacing w:line="480" w:lineRule="auto"/>
              <w:jc w:val="center"/>
              <w:rPr>
                <w:bCs/>
              </w:rPr>
            </w:pPr>
            <w:r w:rsidRPr="000B45AA">
              <w:rPr>
                <w:bCs/>
              </w:rPr>
              <w:t>58.10%</w:t>
            </w:r>
          </w:p>
        </w:tc>
        <w:tc>
          <w:tcPr>
            <w:tcW w:w="976" w:type="dxa"/>
            <w:shd w:val="clear" w:color="auto" w:fill="auto"/>
            <w:noWrap/>
            <w:vAlign w:val="center"/>
            <w:hideMark/>
          </w:tcPr>
          <w:p w:rsidR="00D56A17" w:rsidRPr="000B45AA" w:rsidRDefault="00D56A17" w:rsidP="007E6823">
            <w:pPr>
              <w:spacing w:line="480" w:lineRule="auto"/>
              <w:jc w:val="center"/>
              <w:rPr>
                <w:bCs/>
              </w:rPr>
            </w:pPr>
            <w:r w:rsidRPr="000B45AA">
              <w:rPr>
                <w:bCs/>
              </w:rPr>
              <w:t>13.90%</w:t>
            </w:r>
          </w:p>
        </w:tc>
        <w:tc>
          <w:tcPr>
            <w:tcW w:w="1136" w:type="dxa"/>
            <w:shd w:val="clear" w:color="auto" w:fill="auto"/>
            <w:noWrap/>
            <w:vAlign w:val="center"/>
            <w:hideMark/>
          </w:tcPr>
          <w:p w:rsidR="00D56A17" w:rsidRPr="000B45AA" w:rsidRDefault="00D56A17" w:rsidP="007E6823">
            <w:pPr>
              <w:spacing w:line="480" w:lineRule="auto"/>
              <w:jc w:val="center"/>
              <w:rPr>
                <w:bCs/>
              </w:rPr>
            </w:pPr>
            <w:r w:rsidRPr="000B45AA">
              <w:rPr>
                <w:bCs/>
              </w:rPr>
              <w:t>70.48%</w:t>
            </w:r>
          </w:p>
        </w:tc>
        <w:tc>
          <w:tcPr>
            <w:tcW w:w="976" w:type="dxa"/>
            <w:shd w:val="clear" w:color="auto" w:fill="auto"/>
            <w:noWrap/>
            <w:vAlign w:val="center"/>
            <w:hideMark/>
          </w:tcPr>
          <w:p w:rsidR="00D56A17" w:rsidRPr="000B45AA" w:rsidRDefault="00D56A17" w:rsidP="007E6823">
            <w:pPr>
              <w:spacing w:line="480" w:lineRule="auto"/>
              <w:jc w:val="center"/>
              <w:rPr>
                <w:bCs/>
              </w:rPr>
            </w:pPr>
            <w:r w:rsidRPr="000B45AA">
              <w:rPr>
                <w:bCs/>
              </w:rPr>
              <w:t>10.86%</w:t>
            </w:r>
          </w:p>
        </w:tc>
        <w:tc>
          <w:tcPr>
            <w:tcW w:w="1236" w:type="dxa"/>
            <w:shd w:val="clear" w:color="auto" w:fill="auto"/>
            <w:noWrap/>
            <w:vAlign w:val="center"/>
            <w:hideMark/>
          </w:tcPr>
          <w:p w:rsidR="00D56A17" w:rsidRPr="000B45AA" w:rsidRDefault="00D56A17" w:rsidP="007E6823">
            <w:pPr>
              <w:spacing w:line="480" w:lineRule="auto"/>
              <w:jc w:val="center"/>
              <w:rPr>
                <w:bCs/>
              </w:rPr>
            </w:pPr>
            <w:r w:rsidRPr="000B45AA">
              <w:rPr>
                <w:bCs/>
              </w:rPr>
              <w:t>3.24%</w:t>
            </w:r>
          </w:p>
        </w:tc>
        <w:tc>
          <w:tcPr>
            <w:tcW w:w="1136" w:type="dxa"/>
            <w:shd w:val="clear" w:color="auto" w:fill="auto"/>
            <w:noWrap/>
            <w:vAlign w:val="center"/>
            <w:hideMark/>
          </w:tcPr>
          <w:p w:rsidR="00D56A17" w:rsidRPr="000B45AA" w:rsidRDefault="00D56A17" w:rsidP="007E6823">
            <w:pPr>
              <w:spacing w:line="480" w:lineRule="auto"/>
              <w:jc w:val="center"/>
              <w:rPr>
                <w:bCs/>
              </w:rPr>
            </w:pPr>
            <w:r w:rsidRPr="000B45AA">
              <w:rPr>
                <w:bCs/>
              </w:rPr>
              <w:t>1.52%</w:t>
            </w:r>
          </w:p>
        </w:tc>
      </w:tr>
    </w:tbl>
    <w:p w:rsidR="00D56A17" w:rsidRPr="000B45AA" w:rsidRDefault="00D56A17" w:rsidP="007E6823">
      <w:pPr>
        <w:spacing w:line="480" w:lineRule="auto"/>
        <w:rPr>
          <w:b/>
        </w:rPr>
      </w:pPr>
    </w:p>
    <w:p w:rsidR="00D56A17" w:rsidRPr="000B45AA" w:rsidRDefault="00D56A17" w:rsidP="007E6823">
      <w:pPr>
        <w:spacing w:line="480" w:lineRule="auto"/>
        <w:rPr>
          <w:b/>
        </w:rPr>
      </w:pPr>
    </w:p>
    <w:p w:rsidR="00D56A17" w:rsidRPr="000B45AA" w:rsidRDefault="00D56A17" w:rsidP="007E6823">
      <w:pPr>
        <w:spacing w:line="480" w:lineRule="auto"/>
        <w:rPr>
          <w:b/>
        </w:rPr>
      </w:pPr>
    </w:p>
    <w:p w:rsidR="00D56A17" w:rsidRPr="000B45AA" w:rsidRDefault="00D56A17" w:rsidP="007E6823">
      <w:pPr>
        <w:spacing w:line="480" w:lineRule="auto"/>
        <w:rPr>
          <w:b/>
        </w:rPr>
      </w:pPr>
      <w:r w:rsidRPr="000B45AA">
        <w:rPr>
          <w:b/>
        </w:rPr>
        <w:br w:type="page"/>
      </w:r>
      <w:r w:rsidRPr="000B45AA">
        <w:rPr>
          <w:b/>
        </w:rPr>
        <w:lastRenderedPageBreak/>
        <w:t>Chart 1: Percentage of Occurrences of Supernumerary in Men &amp; Women</w:t>
      </w:r>
    </w:p>
    <w:p w:rsidR="00D56A17" w:rsidRPr="000B45AA" w:rsidRDefault="00D56A17" w:rsidP="007E6823">
      <w:pPr>
        <w:spacing w:line="480" w:lineRule="auto"/>
        <w:rPr>
          <w:b/>
        </w:rPr>
      </w:pPr>
    </w:p>
    <w:p w:rsidR="00D56A17" w:rsidRPr="000B45AA" w:rsidRDefault="00D56A17" w:rsidP="007E6823">
      <w:pPr>
        <w:spacing w:line="480" w:lineRule="auto"/>
        <w:rPr>
          <w:b/>
        </w:rPr>
      </w:pPr>
    </w:p>
    <w:p w:rsidR="00D56A17" w:rsidRPr="000B45AA" w:rsidRDefault="00787604" w:rsidP="007E6823">
      <w:pPr>
        <w:spacing w:line="480" w:lineRule="auto"/>
        <w:rPr>
          <w:b/>
        </w:rPr>
      </w:pPr>
      <w:r w:rsidRPr="000B45AA">
        <w:rPr>
          <w:noProof/>
          <w:lang w:val="en-IN" w:eastAsia="en-IN"/>
        </w:rPr>
        <w:drawing>
          <wp:anchor distT="0" distB="0" distL="114300" distR="114300" simplePos="0" relativeHeight="251658752" behindDoc="0" locked="0" layoutInCell="1" allowOverlap="1">
            <wp:simplePos x="0" y="0"/>
            <wp:positionH relativeFrom="column">
              <wp:posOffset>491760</wp:posOffset>
            </wp:positionH>
            <wp:positionV relativeFrom="paragraph">
              <wp:posOffset>10926</wp:posOffset>
            </wp:positionV>
            <wp:extent cx="5307731" cy="4203380"/>
            <wp:effectExtent l="13605" t="5846" r="5679" b="2094"/>
            <wp:wrapSquare wrapText="right"/>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B2C16" w:rsidRPr="000B45AA" w:rsidRDefault="00BB2C16">
      <w:pPr>
        <w:rPr>
          <w:noProof/>
          <w:lang w:val="en-US"/>
        </w:rPr>
      </w:pPr>
      <w:r w:rsidRPr="000B45AA">
        <w:rPr>
          <w:noProof/>
          <w:lang w:val="en-US"/>
        </w:rPr>
        <w:br w:type="page"/>
      </w:r>
    </w:p>
    <w:p w:rsidR="00BB2C16" w:rsidRPr="000B45AA" w:rsidRDefault="00BB2C16" w:rsidP="00BB2C16">
      <w:pPr>
        <w:spacing w:before="60" w:line="400" w:lineRule="atLeast"/>
        <w:rPr>
          <w:rFonts w:ascii="Arial" w:hAnsi="Arial"/>
          <w:b/>
        </w:rPr>
      </w:pPr>
      <w:r w:rsidRPr="000B45AA">
        <w:rPr>
          <w:rFonts w:ascii="Arial" w:hAnsi="Arial"/>
          <w:b/>
        </w:rPr>
        <w:lastRenderedPageBreak/>
        <w:t>Figure Captions</w:t>
      </w:r>
    </w:p>
    <w:p w:rsidR="00A776AA" w:rsidRPr="000B45AA" w:rsidRDefault="00A776AA" w:rsidP="00A776AA">
      <w:pPr>
        <w:jc w:val="center"/>
        <w:rPr>
          <w:rFonts w:ascii="Verdana" w:hAnsi="Verdana"/>
          <w:sz w:val="20"/>
          <w:szCs w:val="20"/>
        </w:rPr>
      </w:pPr>
      <w:r w:rsidRPr="000B45AA">
        <w:rPr>
          <w:rFonts w:ascii="Verdana" w:hAnsi="Verdana"/>
          <w:noProof/>
          <w:sz w:val="20"/>
          <w:szCs w:val="20"/>
          <w:lang w:val="en-IN" w:eastAsia="en-IN"/>
        </w:rPr>
        <w:drawing>
          <wp:inline distT="0" distB="0" distL="0" distR="0">
            <wp:extent cx="3048000" cy="2286000"/>
            <wp:effectExtent l="19050" t="0" r="0" b="0"/>
            <wp:docPr id="1" name="Picture 0" descr="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eg"/>
                    <pic:cNvPicPr/>
                  </pic:nvPicPr>
                  <pic:blipFill>
                    <a:blip r:embed="rId9" cstate="print"/>
                    <a:stretch>
                      <a:fillRect/>
                    </a:stretch>
                  </pic:blipFill>
                  <pic:spPr>
                    <a:xfrm>
                      <a:off x="0" y="0"/>
                      <a:ext cx="3048000" cy="2286000"/>
                    </a:xfrm>
                    <a:prstGeom prst="rect">
                      <a:avLst/>
                    </a:prstGeom>
                  </pic:spPr>
                </pic:pic>
              </a:graphicData>
            </a:graphic>
          </wp:inline>
        </w:drawing>
      </w:r>
    </w:p>
    <w:p w:rsidR="00A776AA" w:rsidRPr="000B45AA" w:rsidRDefault="00A776AA" w:rsidP="00BB2C16">
      <w:pPr>
        <w:rPr>
          <w:rFonts w:ascii="Verdana" w:hAnsi="Verdana"/>
          <w:sz w:val="20"/>
          <w:szCs w:val="20"/>
        </w:rPr>
      </w:pPr>
    </w:p>
    <w:p w:rsidR="00BB2C16" w:rsidRPr="000B45AA" w:rsidRDefault="00BB2C16" w:rsidP="00A776AA">
      <w:pPr>
        <w:jc w:val="center"/>
        <w:rPr>
          <w:rFonts w:ascii="Verdana" w:hAnsi="Verdana"/>
          <w:b/>
          <w:sz w:val="20"/>
          <w:szCs w:val="20"/>
        </w:rPr>
      </w:pPr>
      <w:r w:rsidRPr="000B45AA">
        <w:rPr>
          <w:rFonts w:ascii="Verdana" w:hAnsi="Verdana"/>
          <w:b/>
          <w:sz w:val="20"/>
          <w:szCs w:val="20"/>
        </w:rPr>
        <w:t xml:space="preserve">Figure </w:t>
      </w:r>
      <w:proofErr w:type="gramStart"/>
      <w:r w:rsidRPr="000B45AA">
        <w:rPr>
          <w:rFonts w:ascii="Verdana" w:hAnsi="Verdana"/>
          <w:b/>
          <w:sz w:val="20"/>
          <w:szCs w:val="20"/>
        </w:rPr>
        <w:t>1 :Intra</w:t>
      </w:r>
      <w:proofErr w:type="gramEnd"/>
      <w:r w:rsidRPr="000B45AA">
        <w:rPr>
          <w:rFonts w:ascii="Verdana" w:hAnsi="Verdana"/>
          <w:b/>
          <w:sz w:val="20"/>
          <w:szCs w:val="20"/>
        </w:rPr>
        <w:t xml:space="preserve"> oral picture showing the lower supplemental teeth and cluster formation</w:t>
      </w:r>
      <w:r w:rsidR="00A776AA" w:rsidRPr="000B45AA">
        <w:rPr>
          <w:rFonts w:ascii="Verdana" w:hAnsi="Verdana"/>
          <w:b/>
          <w:sz w:val="20"/>
          <w:szCs w:val="20"/>
        </w:rPr>
        <w:t xml:space="preserve"> at the age of 24 years.</w:t>
      </w:r>
    </w:p>
    <w:p w:rsidR="00A776AA" w:rsidRPr="000B45AA" w:rsidRDefault="00A776AA" w:rsidP="00BB2C16">
      <w:pPr>
        <w:rPr>
          <w:rFonts w:ascii="Verdana" w:hAnsi="Verdana"/>
          <w:sz w:val="20"/>
          <w:szCs w:val="20"/>
        </w:rPr>
      </w:pPr>
    </w:p>
    <w:p w:rsidR="00A776AA" w:rsidRPr="000B45AA" w:rsidRDefault="00A776AA" w:rsidP="00BB2C16">
      <w:pPr>
        <w:rPr>
          <w:rFonts w:ascii="Verdana" w:hAnsi="Verdana"/>
          <w:sz w:val="20"/>
          <w:szCs w:val="20"/>
        </w:rPr>
      </w:pPr>
    </w:p>
    <w:p w:rsidR="00A776AA" w:rsidRPr="000B45AA" w:rsidRDefault="00A776AA" w:rsidP="00A776AA">
      <w:pPr>
        <w:jc w:val="center"/>
        <w:rPr>
          <w:rFonts w:ascii="Verdana" w:hAnsi="Verdana"/>
          <w:sz w:val="20"/>
          <w:szCs w:val="20"/>
        </w:rPr>
      </w:pPr>
      <w:r w:rsidRPr="000B45AA">
        <w:rPr>
          <w:rFonts w:ascii="Verdana" w:hAnsi="Verdana"/>
          <w:noProof/>
          <w:sz w:val="20"/>
          <w:szCs w:val="20"/>
          <w:lang w:val="en-IN" w:eastAsia="en-IN"/>
        </w:rPr>
        <w:drawing>
          <wp:inline distT="0" distB="0" distL="0" distR="0">
            <wp:extent cx="3048000" cy="2286000"/>
            <wp:effectExtent l="19050" t="0" r="0" b="0"/>
            <wp:docPr id="2" name="Picture 1" descr="fig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eg"/>
                    <pic:cNvPicPr/>
                  </pic:nvPicPr>
                  <pic:blipFill>
                    <a:blip r:embed="rId10" cstate="print"/>
                    <a:stretch>
                      <a:fillRect/>
                    </a:stretch>
                  </pic:blipFill>
                  <pic:spPr>
                    <a:xfrm>
                      <a:off x="0" y="0"/>
                      <a:ext cx="3048000" cy="2286000"/>
                    </a:xfrm>
                    <a:prstGeom prst="rect">
                      <a:avLst/>
                    </a:prstGeom>
                  </pic:spPr>
                </pic:pic>
              </a:graphicData>
            </a:graphic>
          </wp:inline>
        </w:drawing>
      </w:r>
    </w:p>
    <w:p w:rsidR="00A776AA" w:rsidRPr="000B45AA" w:rsidRDefault="00A776AA" w:rsidP="00BB2C16">
      <w:pPr>
        <w:rPr>
          <w:rFonts w:ascii="Verdana" w:hAnsi="Verdana"/>
          <w:sz w:val="20"/>
          <w:szCs w:val="20"/>
        </w:rPr>
      </w:pPr>
    </w:p>
    <w:p w:rsidR="00BB2C16" w:rsidRPr="000B45AA" w:rsidRDefault="00BB2C16" w:rsidP="00A776AA">
      <w:pPr>
        <w:jc w:val="center"/>
        <w:rPr>
          <w:rFonts w:ascii="Verdana" w:hAnsi="Verdana"/>
          <w:b/>
          <w:sz w:val="20"/>
          <w:szCs w:val="20"/>
        </w:rPr>
      </w:pPr>
      <w:r w:rsidRPr="000B45AA">
        <w:rPr>
          <w:rFonts w:ascii="Verdana" w:hAnsi="Verdana"/>
          <w:b/>
          <w:sz w:val="20"/>
          <w:szCs w:val="20"/>
        </w:rPr>
        <w:t>Figure 2: OPG of the patient taken at 14 years.</w:t>
      </w:r>
    </w:p>
    <w:p w:rsidR="00A776AA" w:rsidRPr="000B45AA" w:rsidRDefault="00A776AA" w:rsidP="00BB2C16">
      <w:pPr>
        <w:rPr>
          <w:rFonts w:ascii="Verdana" w:hAnsi="Verdana"/>
          <w:sz w:val="20"/>
          <w:szCs w:val="20"/>
        </w:rPr>
      </w:pPr>
    </w:p>
    <w:p w:rsidR="00A776AA" w:rsidRPr="000B45AA" w:rsidRDefault="00A776AA" w:rsidP="00A776AA">
      <w:pPr>
        <w:jc w:val="center"/>
        <w:rPr>
          <w:rFonts w:ascii="Verdana" w:hAnsi="Verdana"/>
          <w:sz w:val="20"/>
          <w:szCs w:val="20"/>
        </w:rPr>
      </w:pPr>
      <w:r w:rsidRPr="000B45AA">
        <w:rPr>
          <w:rFonts w:ascii="Verdana" w:hAnsi="Verdana"/>
          <w:noProof/>
          <w:sz w:val="20"/>
          <w:szCs w:val="20"/>
          <w:lang w:val="en-IN" w:eastAsia="en-IN"/>
        </w:rPr>
        <w:drawing>
          <wp:inline distT="0" distB="0" distL="0" distR="0">
            <wp:extent cx="3048000" cy="2286000"/>
            <wp:effectExtent l="19050" t="0" r="0" b="0"/>
            <wp:docPr id="3" name="Picture 2"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1" cstate="print"/>
                    <a:stretch>
                      <a:fillRect/>
                    </a:stretch>
                  </pic:blipFill>
                  <pic:spPr>
                    <a:xfrm>
                      <a:off x="0" y="0"/>
                      <a:ext cx="3048000" cy="2286000"/>
                    </a:xfrm>
                    <a:prstGeom prst="rect">
                      <a:avLst/>
                    </a:prstGeom>
                  </pic:spPr>
                </pic:pic>
              </a:graphicData>
            </a:graphic>
          </wp:inline>
        </w:drawing>
      </w:r>
    </w:p>
    <w:p w:rsidR="00A776AA" w:rsidRPr="000B45AA" w:rsidRDefault="00A776AA" w:rsidP="00BB2C16">
      <w:pPr>
        <w:rPr>
          <w:rFonts w:ascii="Verdana" w:hAnsi="Verdana"/>
          <w:sz w:val="20"/>
          <w:szCs w:val="20"/>
        </w:rPr>
      </w:pPr>
    </w:p>
    <w:p w:rsidR="00BB2C16" w:rsidRPr="000B45AA" w:rsidRDefault="00BB2C16" w:rsidP="00A776AA">
      <w:pPr>
        <w:jc w:val="center"/>
        <w:rPr>
          <w:rFonts w:ascii="Verdana" w:hAnsi="Verdana"/>
          <w:b/>
          <w:sz w:val="20"/>
          <w:szCs w:val="20"/>
        </w:rPr>
      </w:pPr>
      <w:r w:rsidRPr="000B45AA">
        <w:rPr>
          <w:rFonts w:ascii="Verdana" w:hAnsi="Verdana"/>
          <w:b/>
          <w:sz w:val="20"/>
          <w:szCs w:val="20"/>
        </w:rPr>
        <w:t>Figure 3: OPG of the patient taken at 17 years.</w:t>
      </w:r>
    </w:p>
    <w:p w:rsidR="00A776AA" w:rsidRPr="000B45AA" w:rsidRDefault="00A776AA" w:rsidP="00BB2C16">
      <w:pPr>
        <w:rPr>
          <w:rFonts w:ascii="Verdana" w:hAnsi="Verdana"/>
          <w:sz w:val="20"/>
          <w:szCs w:val="20"/>
        </w:rPr>
      </w:pPr>
    </w:p>
    <w:p w:rsidR="00A776AA" w:rsidRPr="000B45AA" w:rsidRDefault="00A776AA" w:rsidP="00A776AA">
      <w:pPr>
        <w:jc w:val="center"/>
        <w:rPr>
          <w:rFonts w:ascii="Verdana" w:hAnsi="Verdana"/>
          <w:sz w:val="20"/>
          <w:szCs w:val="20"/>
        </w:rPr>
      </w:pPr>
      <w:r w:rsidRPr="000B45AA">
        <w:rPr>
          <w:rFonts w:ascii="Verdana" w:hAnsi="Verdana"/>
          <w:noProof/>
          <w:sz w:val="20"/>
          <w:szCs w:val="20"/>
          <w:lang w:val="en-IN" w:eastAsia="en-IN"/>
        </w:rPr>
        <w:lastRenderedPageBreak/>
        <w:drawing>
          <wp:inline distT="0" distB="0" distL="0" distR="0">
            <wp:extent cx="3048000" cy="2286000"/>
            <wp:effectExtent l="19050" t="0" r="0" b="0"/>
            <wp:docPr id="4" name="Picture 3" descr="figur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eg"/>
                    <pic:cNvPicPr/>
                  </pic:nvPicPr>
                  <pic:blipFill>
                    <a:blip r:embed="rId12" cstate="print"/>
                    <a:stretch>
                      <a:fillRect/>
                    </a:stretch>
                  </pic:blipFill>
                  <pic:spPr>
                    <a:xfrm>
                      <a:off x="0" y="0"/>
                      <a:ext cx="3048000" cy="2286000"/>
                    </a:xfrm>
                    <a:prstGeom prst="rect">
                      <a:avLst/>
                    </a:prstGeom>
                  </pic:spPr>
                </pic:pic>
              </a:graphicData>
            </a:graphic>
          </wp:inline>
        </w:drawing>
      </w:r>
    </w:p>
    <w:p w:rsidR="00A776AA" w:rsidRPr="000B45AA" w:rsidRDefault="00A776AA" w:rsidP="00BB2C16">
      <w:pPr>
        <w:rPr>
          <w:rFonts w:ascii="Verdana" w:hAnsi="Verdana"/>
          <w:sz w:val="20"/>
          <w:szCs w:val="20"/>
        </w:rPr>
      </w:pPr>
    </w:p>
    <w:p w:rsidR="00BB2C16" w:rsidRPr="000B45AA" w:rsidRDefault="00BB2C16" w:rsidP="00A776AA">
      <w:pPr>
        <w:jc w:val="center"/>
        <w:rPr>
          <w:rFonts w:ascii="Verdana" w:hAnsi="Verdana"/>
          <w:b/>
          <w:sz w:val="20"/>
          <w:szCs w:val="20"/>
        </w:rPr>
      </w:pPr>
      <w:r w:rsidRPr="000B45AA">
        <w:rPr>
          <w:rFonts w:ascii="Verdana" w:hAnsi="Verdana"/>
          <w:b/>
          <w:sz w:val="20"/>
          <w:szCs w:val="20"/>
        </w:rPr>
        <w:t>Figure 4: OPG of the patient taken at 24 years.</w:t>
      </w:r>
    </w:p>
    <w:p w:rsidR="007040F2" w:rsidRPr="000B45AA" w:rsidRDefault="007040F2" w:rsidP="007E6823">
      <w:pPr>
        <w:spacing w:before="60" w:line="480" w:lineRule="auto"/>
        <w:outlineLvl w:val="0"/>
        <w:rPr>
          <w:noProof/>
          <w:lang w:val="en-US"/>
        </w:rPr>
      </w:pPr>
    </w:p>
    <w:sectPr w:rsidR="007040F2" w:rsidRPr="000B45AA" w:rsidSect="008A5717">
      <w:pgSz w:w="11906" w:h="16838" w:code="9"/>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48" w:rsidRDefault="00B11448">
      <w:r>
        <w:separator/>
      </w:r>
    </w:p>
  </w:endnote>
  <w:endnote w:type="continuationSeparator" w:id="0">
    <w:p w:rsidR="00B11448" w:rsidRDefault="00B11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48" w:rsidRDefault="00B11448">
      <w:r>
        <w:separator/>
      </w:r>
    </w:p>
  </w:footnote>
  <w:footnote w:type="continuationSeparator" w:id="0">
    <w:p w:rsidR="00B11448" w:rsidRDefault="00B11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2A8"/>
    <w:multiLevelType w:val="hybridMultilevel"/>
    <w:tmpl w:val="347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65BA"/>
    <w:multiLevelType w:val="hybridMultilevel"/>
    <w:tmpl w:val="AA84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994B8A"/>
    <w:multiLevelType w:val="hybridMultilevel"/>
    <w:tmpl w:val="8922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70866"/>
    <w:multiLevelType w:val="hybridMultilevel"/>
    <w:tmpl w:val="B34C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30F83"/>
    <w:multiLevelType w:val="hybridMultilevel"/>
    <w:tmpl w:val="835E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82150"/>
    <w:multiLevelType w:val="hybridMultilevel"/>
    <w:tmpl w:val="94B8F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267C04"/>
    <w:multiLevelType w:val="hybridMultilevel"/>
    <w:tmpl w:val="E1DE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nsid w:val="711E5949"/>
    <w:multiLevelType w:val="hybridMultilevel"/>
    <w:tmpl w:val="E3C2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7D74A9D"/>
    <w:multiLevelType w:val="hybridMultilevel"/>
    <w:tmpl w:val="73F0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2"/>
  </w:num>
  <w:num w:numId="7">
    <w:abstractNumId w:val="0"/>
  </w:num>
  <w:num w:numId="8">
    <w:abstractNumId w:val="8"/>
  </w:num>
  <w:num w:numId="9">
    <w:abstractNumId w:val="4"/>
  </w:num>
  <w:num w:numId="10">
    <w:abstractNumId w:val="3"/>
  </w:num>
  <w:num w:numId="11">
    <w:abstractNumId w:val="5"/>
  </w:num>
  <w:num w:numId="12">
    <w:abstractNumId w:val="1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327B8"/>
    <w:rsid w:val="00014634"/>
    <w:rsid w:val="00026B94"/>
    <w:rsid w:val="000272D3"/>
    <w:rsid w:val="00040B92"/>
    <w:rsid w:val="00042CB1"/>
    <w:rsid w:val="00051B4E"/>
    <w:rsid w:val="00054A93"/>
    <w:rsid w:val="00054B76"/>
    <w:rsid w:val="00054F8C"/>
    <w:rsid w:val="00066CB7"/>
    <w:rsid w:val="00074CB2"/>
    <w:rsid w:val="000A118A"/>
    <w:rsid w:val="000A4930"/>
    <w:rsid w:val="000B419E"/>
    <w:rsid w:val="000B45AA"/>
    <w:rsid w:val="000C4A06"/>
    <w:rsid w:val="000D1DB2"/>
    <w:rsid w:val="000D5728"/>
    <w:rsid w:val="000E674D"/>
    <w:rsid w:val="000F1757"/>
    <w:rsid w:val="00112A8D"/>
    <w:rsid w:val="001200C7"/>
    <w:rsid w:val="001441BE"/>
    <w:rsid w:val="00153B78"/>
    <w:rsid w:val="00154F20"/>
    <w:rsid w:val="00162879"/>
    <w:rsid w:val="00164876"/>
    <w:rsid w:val="00181B3C"/>
    <w:rsid w:val="00191E6C"/>
    <w:rsid w:val="001926C0"/>
    <w:rsid w:val="001E70F5"/>
    <w:rsid w:val="00203570"/>
    <w:rsid w:val="0021193D"/>
    <w:rsid w:val="0021625C"/>
    <w:rsid w:val="00231E01"/>
    <w:rsid w:val="0024289C"/>
    <w:rsid w:val="00243371"/>
    <w:rsid w:val="00244F76"/>
    <w:rsid w:val="002662FA"/>
    <w:rsid w:val="00274D56"/>
    <w:rsid w:val="00290925"/>
    <w:rsid w:val="00293A58"/>
    <w:rsid w:val="002955D9"/>
    <w:rsid w:val="002976FD"/>
    <w:rsid w:val="002A4D36"/>
    <w:rsid w:val="002B0B30"/>
    <w:rsid w:val="002B6168"/>
    <w:rsid w:val="002C162F"/>
    <w:rsid w:val="002C1816"/>
    <w:rsid w:val="002C7C63"/>
    <w:rsid w:val="002E66C4"/>
    <w:rsid w:val="002F427F"/>
    <w:rsid w:val="00303D33"/>
    <w:rsid w:val="00304D71"/>
    <w:rsid w:val="00307D93"/>
    <w:rsid w:val="003222C6"/>
    <w:rsid w:val="003271BB"/>
    <w:rsid w:val="00354F43"/>
    <w:rsid w:val="00355419"/>
    <w:rsid w:val="003561CB"/>
    <w:rsid w:val="0036328B"/>
    <w:rsid w:val="00367562"/>
    <w:rsid w:val="003A3B18"/>
    <w:rsid w:val="003A3CD6"/>
    <w:rsid w:val="003A573E"/>
    <w:rsid w:val="003A5986"/>
    <w:rsid w:val="003A76DE"/>
    <w:rsid w:val="003B12DF"/>
    <w:rsid w:val="003B4F92"/>
    <w:rsid w:val="003C4A7D"/>
    <w:rsid w:val="003D63F1"/>
    <w:rsid w:val="003E10E1"/>
    <w:rsid w:val="003F3F35"/>
    <w:rsid w:val="003F6AD6"/>
    <w:rsid w:val="00415986"/>
    <w:rsid w:val="004224EF"/>
    <w:rsid w:val="00426E2F"/>
    <w:rsid w:val="00435149"/>
    <w:rsid w:val="0044775C"/>
    <w:rsid w:val="004617F7"/>
    <w:rsid w:val="00461B21"/>
    <w:rsid w:val="00464BDE"/>
    <w:rsid w:val="00474C17"/>
    <w:rsid w:val="004803A4"/>
    <w:rsid w:val="00483FD4"/>
    <w:rsid w:val="00494AA8"/>
    <w:rsid w:val="004B0ECE"/>
    <w:rsid w:val="004B2784"/>
    <w:rsid w:val="004B349E"/>
    <w:rsid w:val="004E06FF"/>
    <w:rsid w:val="004E33E5"/>
    <w:rsid w:val="004E6F58"/>
    <w:rsid w:val="00513EEA"/>
    <w:rsid w:val="0052209F"/>
    <w:rsid w:val="00534707"/>
    <w:rsid w:val="00542C39"/>
    <w:rsid w:val="0054796A"/>
    <w:rsid w:val="00564AAA"/>
    <w:rsid w:val="005859D1"/>
    <w:rsid w:val="00586B16"/>
    <w:rsid w:val="005901EB"/>
    <w:rsid w:val="005A33B1"/>
    <w:rsid w:val="005D03A1"/>
    <w:rsid w:val="005E58DA"/>
    <w:rsid w:val="005F2D0E"/>
    <w:rsid w:val="006003F1"/>
    <w:rsid w:val="00600B01"/>
    <w:rsid w:val="00602A0D"/>
    <w:rsid w:val="00606135"/>
    <w:rsid w:val="00612548"/>
    <w:rsid w:val="00630C22"/>
    <w:rsid w:val="00641722"/>
    <w:rsid w:val="00645930"/>
    <w:rsid w:val="006545F1"/>
    <w:rsid w:val="00654DDB"/>
    <w:rsid w:val="006758F3"/>
    <w:rsid w:val="00684437"/>
    <w:rsid w:val="006B2C2A"/>
    <w:rsid w:val="006C003C"/>
    <w:rsid w:val="006D0424"/>
    <w:rsid w:val="006E350E"/>
    <w:rsid w:val="006E7027"/>
    <w:rsid w:val="006F1731"/>
    <w:rsid w:val="006F67D9"/>
    <w:rsid w:val="00700710"/>
    <w:rsid w:val="00702318"/>
    <w:rsid w:val="007040F2"/>
    <w:rsid w:val="00710D4E"/>
    <w:rsid w:val="00713587"/>
    <w:rsid w:val="0071658D"/>
    <w:rsid w:val="007176D1"/>
    <w:rsid w:val="007270C8"/>
    <w:rsid w:val="00740A8C"/>
    <w:rsid w:val="0075052D"/>
    <w:rsid w:val="0075350F"/>
    <w:rsid w:val="00756E55"/>
    <w:rsid w:val="00765D2D"/>
    <w:rsid w:val="007679A4"/>
    <w:rsid w:val="00780865"/>
    <w:rsid w:val="00787604"/>
    <w:rsid w:val="007A2A72"/>
    <w:rsid w:val="007B1273"/>
    <w:rsid w:val="007B1D25"/>
    <w:rsid w:val="007B6248"/>
    <w:rsid w:val="007D7AEC"/>
    <w:rsid w:val="007E0D60"/>
    <w:rsid w:val="007E527A"/>
    <w:rsid w:val="007E6823"/>
    <w:rsid w:val="007F4D00"/>
    <w:rsid w:val="00804262"/>
    <w:rsid w:val="00810816"/>
    <w:rsid w:val="00822EEA"/>
    <w:rsid w:val="008230F0"/>
    <w:rsid w:val="00835C83"/>
    <w:rsid w:val="00840C55"/>
    <w:rsid w:val="008761A1"/>
    <w:rsid w:val="008764E1"/>
    <w:rsid w:val="00881AEB"/>
    <w:rsid w:val="00887A2A"/>
    <w:rsid w:val="008973B4"/>
    <w:rsid w:val="008A5717"/>
    <w:rsid w:val="008B5D07"/>
    <w:rsid w:val="008E3375"/>
    <w:rsid w:val="00906A09"/>
    <w:rsid w:val="0090706B"/>
    <w:rsid w:val="009122E7"/>
    <w:rsid w:val="0091283D"/>
    <w:rsid w:val="00917391"/>
    <w:rsid w:val="00940646"/>
    <w:rsid w:val="009673A7"/>
    <w:rsid w:val="009703FB"/>
    <w:rsid w:val="00980D10"/>
    <w:rsid w:val="00984934"/>
    <w:rsid w:val="009A0A95"/>
    <w:rsid w:val="009B017A"/>
    <w:rsid w:val="009F3CE9"/>
    <w:rsid w:val="009F5989"/>
    <w:rsid w:val="009F6221"/>
    <w:rsid w:val="00A17A64"/>
    <w:rsid w:val="00A64214"/>
    <w:rsid w:val="00A651A5"/>
    <w:rsid w:val="00A776AA"/>
    <w:rsid w:val="00A92639"/>
    <w:rsid w:val="00AC2231"/>
    <w:rsid w:val="00AD0021"/>
    <w:rsid w:val="00AD37C3"/>
    <w:rsid w:val="00AD7E6E"/>
    <w:rsid w:val="00AF223C"/>
    <w:rsid w:val="00B00CE0"/>
    <w:rsid w:val="00B11448"/>
    <w:rsid w:val="00B21D47"/>
    <w:rsid w:val="00B350BC"/>
    <w:rsid w:val="00B56DE6"/>
    <w:rsid w:val="00B64CF2"/>
    <w:rsid w:val="00B668C9"/>
    <w:rsid w:val="00B809E7"/>
    <w:rsid w:val="00B830C2"/>
    <w:rsid w:val="00BA5643"/>
    <w:rsid w:val="00BA579B"/>
    <w:rsid w:val="00BB2C16"/>
    <w:rsid w:val="00BB4CAB"/>
    <w:rsid w:val="00BC42B7"/>
    <w:rsid w:val="00BD0E2C"/>
    <w:rsid w:val="00BD22C0"/>
    <w:rsid w:val="00BD5348"/>
    <w:rsid w:val="00BE44DB"/>
    <w:rsid w:val="00BF0F32"/>
    <w:rsid w:val="00BF56B3"/>
    <w:rsid w:val="00C02194"/>
    <w:rsid w:val="00C16BB5"/>
    <w:rsid w:val="00C343F2"/>
    <w:rsid w:val="00C35E92"/>
    <w:rsid w:val="00C40CFB"/>
    <w:rsid w:val="00C423FF"/>
    <w:rsid w:val="00C53557"/>
    <w:rsid w:val="00C53F3E"/>
    <w:rsid w:val="00C5584A"/>
    <w:rsid w:val="00C62542"/>
    <w:rsid w:val="00C63020"/>
    <w:rsid w:val="00C6499F"/>
    <w:rsid w:val="00C67182"/>
    <w:rsid w:val="00C67A7F"/>
    <w:rsid w:val="00C77903"/>
    <w:rsid w:val="00C822E3"/>
    <w:rsid w:val="00C84E95"/>
    <w:rsid w:val="00C97DE8"/>
    <w:rsid w:val="00CA0DDF"/>
    <w:rsid w:val="00CA1A83"/>
    <w:rsid w:val="00CA7CD7"/>
    <w:rsid w:val="00CB6022"/>
    <w:rsid w:val="00CC14FF"/>
    <w:rsid w:val="00CC20F4"/>
    <w:rsid w:val="00CC4DE5"/>
    <w:rsid w:val="00CC6DD0"/>
    <w:rsid w:val="00CE2DC8"/>
    <w:rsid w:val="00D01E82"/>
    <w:rsid w:val="00D02465"/>
    <w:rsid w:val="00D07532"/>
    <w:rsid w:val="00D2506D"/>
    <w:rsid w:val="00D327B8"/>
    <w:rsid w:val="00D33C86"/>
    <w:rsid w:val="00D37E5D"/>
    <w:rsid w:val="00D535CE"/>
    <w:rsid w:val="00D54A34"/>
    <w:rsid w:val="00D56A17"/>
    <w:rsid w:val="00D61A14"/>
    <w:rsid w:val="00D6207A"/>
    <w:rsid w:val="00D718BE"/>
    <w:rsid w:val="00D75EF0"/>
    <w:rsid w:val="00DB50B3"/>
    <w:rsid w:val="00DB702C"/>
    <w:rsid w:val="00DC0C0C"/>
    <w:rsid w:val="00DD236E"/>
    <w:rsid w:val="00DE77D9"/>
    <w:rsid w:val="00DF29D2"/>
    <w:rsid w:val="00DF7B69"/>
    <w:rsid w:val="00E0209E"/>
    <w:rsid w:val="00E04EB7"/>
    <w:rsid w:val="00E17232"/>
    <w:rsid w:val="00E31123"/>
    <w:rsid w:val="00E31410"/>
    <w:rsid w:val="00E45810"/>
    <w:rsid w:val="00E63CBC"/>
    <w:rsid w:val="00E678E5"/>
    <w:rsid w:val="00E70CDB"/>
    <w:rsid w:val="00E85108"/>
    <w:rsid w:val="00E94D15"/>
    <w:rsid w:val="00E958DD"/>
    <w:rsid w:val="00EC1346"/>
    <w:rsid w:val="00EE683F"/>
    <w:rsid w:val="00F010DB"/>
    <w:rsid w:val="00F077C2"/>
    <w:rsid w:val="00F1215C"/>
    <w:rsid w:val="00F27989"/>
    <w:rsid w:val="00F33945"/>
    <w:rsid w:val="00F4183F"/>
    <w:rsid w:val="00FC065C"/>
    <w:rsid w:val="00FC3D48"/>
    <w:rsid w:val="00FD0071"/>
    <w:rsid w:val="00FD03DA"/>
    <w:rsid w:val="00FD3AD9"/>
    <w:rsid w:val="00FE1EA1"/>
    <w:rsid w:val="00FE40BF"/>
    <w:rsid w:val="00FE69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17"/>
    <w:rPr>
      <w:sz w:val="24"/>
      <w:szCs w:val="24"/>
      <w:lang w:val="en-GB"/>
    </w:rPr>
  </w:style>
  <w:style w:type="paragraph" w:styleId="Heading3">
    <w:name w:val="heading 3"/>
    <w:basedOn w:val="Normal"/>
    <w:next w:val="Normal"/>
    <w:qFormat/>
    <w:rsid w:val="008A5717"/>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8A5717"/>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A5717"/>
    <w:pPr>
      <w:tabs>
        <w:tab w:val="center" w:pos="4153"/>
        <w:tab w:val="right" w:pos="8306"/>
      </w:tabs>
    </w:pPr>
  </w:style>
  <w:style w:type="paragraph" w:styleId="Footer">
    <w:name w:val="footer"/>
    <w:basedOn w:val="Normal"/>
    <w:link w:val="FooterChar"/>
    <w:uiPriority w:val="99"/>
    <w:rsid w:val="008A5717"/>
    <w:pPr>
      <w:tabs>
        <w:tab w:val="center" w:pos="4153"/>
        <w:tab w:val="right" w:pos="8306"/>
      </w:tabs>
    </w:pPr>
  </w:style>
  <w:style w:type="paragraph" w:styleId="NormalWeb">
    <w:name w:val="Normal (Web)"/>
    <w:basedOn w:val="Normal"/>
    <w:rsid w:val="008A5717"/>
    <w:pPr>
      <w:spacing w:before="100" w:beforeAutospacing="1" w:after="100" w:afterAutospacing="1"/>
      <w:ind w:firstLine="216"/>
    </w:pPr>
    <w:rPr>
      <w:rFonts w:ascii="Souvenir Lt BT" w:hAnsi="Souvenir Lt BT"/>
    </w:rPr>
  </w:style>
  <w:style w:type="character" w:styleId="Emphasis">
    <w:name w:val="Emphasis"/>
    <w:basedOn w:val="DefaultParagraphFont"/>
    <w:qFormat/>
    <w:rsid w:val="008A5717"/>
    <w:rPr>
      <w:i/>
    </w:rPr>
  </w:style>
  <w:style w:type="character" w:styleId="Hyperlink">
    <w:name w:val="Hyperlink"/>
    <w:basedOn w:val="DefaultParagraphFont"/>
    <w:rsid w:val="008A5717"/>
    <w:rPr>
      <w:color w:val="0000FF"/>
      <w:u w:val="single"/>
    </w:rPr>
  </w:style>
  <w:style w:type="character" w:styleId="FollowedHyperlink">
    <w:name w:val="FollowedHyperlink"/>
    <w:basedOn w:val="DefaultParagraphFont"/>
    <w:semiHidden/>
    <w:rsid w:val="008A5717"/>
    <w:rPr>
      <w:color w:val="800080"/>
      <w:u w:val="single"/>
    </w:rPr>
  </w:style>
  <w:style w:type="paragraph" w:styleId="DocumentMap">
    <w:name w:val="Document Map"/>
    <w:basedOn w:val="Normal"/>
    <w:semiHidden/>
    <w:rsid w:val="008A5717"/>
    <w:pPr>
      <w:shd w:val="clear" w:color="auto" w:fill="000080"/>
    </w:pPr>
    <w:rPr>
      <w:rFonts w:ascii="Tahoma" w:hAnsi="Tahoma" w:cs="Tahoma"/>
    </w:rPr>
  </w:style>
  <w:style w:type="paragraph" w:styleId="FootnoteText">
    <w:name w:val="footnote text"/>
    <w:basedOn w:val="Normal"/>
    <w:semiHidden/>
    <w:rsid w:val="008A5717"/>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8A5717"/>
    <w:rPr>
      <w:sz w:val="16"/>
      <w:szCs w:val="16"/>
    </w:rPr>
  </w:style>
  <w:style w:type="paragraph" w:styleId="CommentText">
    <w:name w:val="annotation text"/>
    <w:basedOn w:val="Normal"/>
    <w:semiHidden/>
    <w:rsid w:val="008A5717"/>
    <w:rPr>
      <w:sz w:val="20"/>
      <w:szCs w:val="20"/>
    </w:rPr>
  </w:style>
  <w:style w:type="paragraph" w:styleId="BalloonText">
    <w:name w:val="Balloon Text"/>
    <w:basedOn w:val="Normal"/>
    <w:semiHidden/>
    <w:rsid w:val="008A5717"/>
    <w:rPr>
      <w:rFonts w:ascii="Tahoma" w:hAnsi="Tahoma" w:cs="Tahoma"/>
      <w:sz w:val="16"/>
      <w:szCs w:val="16"/>
    </w:rPr>
  </w:style>
  <w:style w:type="paragraph" w:styleId="CommentSubject">
    <w:name w:val="annotation subject"/>
    <w:basedOn w:val="CommentText"/>
    <w:next w:val="CommentText"/>
    <w:semiHidden/>
    <w:rsid w:val="008A5717"/>
    <w:rPr>
      <w:b/>
      <w:bCs/>
    </w:rPr>
  </w:style>
  <w:style w:type="paragraph" w:styleId="ListParagraph">
    <w:name w:val="List Paragraph"/>
    <w:basedOn w:val="Normal"/>
    <w:uiPriority w:val="72"/>
    <w:qFormat/>
    <w:rsid w:val="007040F2"/>
    <w:pPr>
      <w:ind w:left="720"/>
    </w:pPr>
  </w:style>
  <w:style w:type="paragraph" w:styleId="NoSpacing">
    <w:name w:val="No Spacing"/>
    <w:uiPriority w:val="1"/>
    <w:qFormat/>
    <w:rsid w:val="007040F2"/>
    <w:rPr>
      <w:sz w:val="24"/>
      <w:szCs w:val="24"/>
      <w:lang w:val="en-GB"/>
    </w:rPr>
  </w:style>
  <w:style w:type="character" w:customStyle="1" w:styleId="apple-converted-space">
    <w:name w:val="apple-converted-space"/>
    <w:basedOn w:val="DefaultParagraphFont"/>
    <w:rsid w:val="002A4D36"/>
  </w:style>
  <w:style w:type="character" w:customStyle="1" w:styleId="cit-source">
    <w:name w:val="cit-source"/>
    <w:basedOn w:val="DefaultParagraphFont"/>
    <w:rsid w:val="002A4D36"/>
  </w:style>
  <w:style w:type="character" w:customStyle="1" w:styleId="cit-pub-date">
    <w:name w:val="cit-pub-date"/>
    <w:basedOn w:val="DefaultParagraphFont"/>
    <w:rsid w:val="002A4D36"/>
  </w:style>
  <w:style w:type="character" w:customStyle="1" w:styleId="cit-vol">
    <w:name w:val="cit-vol"/>
    <w:basedOn w:val="DefaultParagraphFont"/>
    <w:rsid w:val="002A4D36"/>
  </w:style>
  <w:style w:type="character" w:customStyle="1" w:styleId="cit-fpage">
    <w:name w:val="cit-fpage"/>
    <w:basedOn w:val="DefaultParagraphFont"/>
    <w:rsid w:val="002A4D36"/>
  </w:style>
  <w:style w:type="character" w:customStyle="1" w:styleId="ref-journal">
    <w:name w:val="ref-journal"/>
    <w:basedOn w:val="DefaultParagraphFont"/>
    <w:rsid w:val="00B21D47"/>
  </w:style>
  <w:style w:type="character" w:customStyle="1" w:styleId="ref-vol">
    <w:name w:val="ref-vol"/>
    <w:basedOn w:val="DefaultParagraphFont"/>
    <w:rsid w:val="00B21D47"/>
  </w:style>
  <w:style w:type="character" w:styleId="PageNumber">
    <w:name w:val="page number"/>
    <w:basedOn w:val="DefaultParagraphFont"/>
    <w:uiPriority w:val="99"/>
    <w:semiHidden/>
    <w:unhideWhenUsed/>
    <w:rsid w:val="00D56A17"/>
  </w:style>
  <w:style w:type="paragraph" w:styleId="Revision">
    <w:name w:val="Revision"/>
    <w:hidden/>
    <w:uiPriority w:val="99"/>
    <w:semiHidden/>
    <w:rsid w:val="005E58DA"/>
    <w:rPr>
      <w:sz w:val="24"/>
      <w:szCs w:val="24"/>
      <w:lang w:val="en-GB"/>
    </w:rPr>
  </w:style>
  <w:style w:type="character" w:customStyle="1" w:styleId="FooterChar">
    <w:name w:val="Footer Char"/>
    <w:basedOn w:val="DefaultParagraphFont"/>
    <w:link w:val="Footer"/>
    <w:uiPriority w:val="99"/>
    <w:rsid w:val="007E6823"/>
    <w:rPr>
      <w:sz w:val="24"/>
      <w:szCs w:val="24"/>
      <w:lang w:val="en-GB"/>
    </w:rPr>
  </w:style>
</w:styles>
</file>

<file path=word/webSettings.xml><?xml version="1.0" encoding="utf-8"?>
<w:webSettings xmlns:r="http://schemas.openxmlformats.org/officeDocument/2006/relationships" xmlns:w="http://schemas.openxmlformats.org/wordprocessingml/2006/main">
  <w:divs>
    <w:div w:id="601114036">
      <w:bodyDiv w:val="1"/>
      <w:marLeft w:val="0"/>
      <w:marRight w:val="0"/>
      <w:marTop w:val="0"/>
      <w:marBottom w:val="0"/>
      <w:divBdr>
        <w:top w:val="none" w:sz="0" w:space="0" w:color="auto"/>
        <w:left w:val="none" w:sz="0" w:space="0" w:color="auto"/>
        <w:bottom w:val="none" w:sz="0" w:space="0" w:color="auto"/>
        <w:right w:val="none" w:sz="0" w:space="0" w:color="auto"/>
      </w:divBdr>
      <w:divsChild>
        <w:div w:id="1294018393">
          <w:marLeft w:val="0"/>
          <w:marRight w:val="1"/>
          <w:marTop w:val="0"/>
          <w:marBottom w:val="0"/>
          <w:divBdr>
            <w:top w:val="none" w:sz="0" w:space="0" w:color="auto"/>
            <w:left w:val="none" w:sz="0" w:space="0" w:color="auto"/>
            <w:bottom w:val="none" w:sz="0" w:space="0" w:color="auto"/>
            <w:right w:val="none" w:sz="0" w:space="0" w:color="auto"/>
          </w:divBdr>
          <w:divsChild>
            <w:div w:id="25914831">
              <w:marLeft w:val="0"/>
              <w:marRight w:val="0"/>
              <w:marTop w:val="0"/>
              <w:marBottom w:val="0"/>
              <w:divBdr>
                <w:top w:val="none" w:sz="0" w:space="0" w:color="auto"/>
                <w:left w:val="none" w:sz="0" w:space="0" w:color="auto"/>
                <w:bottom w:val="none" w:sz="0" w:space="0" w:color="auto"/>
                <w:right w:val="none" w:sz="0" w:space="0" w:color="auto"/>
              </w:divBdr>
              <w:divsChild>
                <w:div w:id="846216416">
                  <w:marLeft w:val="0"/>
                  <w:marRight w:val="1"/>
                  <w:marTop w:val="0"/>
                  <w:marBottom w:val="0"/>
                  <w:divBdr>
                    <w:top w:val="none" w:sz="0" w:space="0" w:color="auto"/>
                    <w:left w:val="none" w:sz="0" w:space="0" w:color="auto"/>
                    <w:bottom w:val="none" w:sz="0" w:space="0" w:color="auto"/>
                    <w:right w:val="none" w:sz="0" w:space="0" w:color="auto"/>
                  </w:divBdr>
                  <w:divsChild>
                    <w:div w:id="1629235174">
                      <w:marLeft w:val="0"/>
                      <w:marRight w:val="0"/>
                      <w:marTop w:val="0"/>
                      <w:marBottom w:val="0"/>
                      <w:divBdr>
                        <w:top w:val="none" w:sz="0" w:space="0" w:color="auto"/>
                        <w:left w:val="none" w:sz="0" w:space="0" w:color="auto"/>
                        <w:bottom w:val="none" w:sz="0" w:space="0" w:color="auto"/>
                        <w:right w:val="none" w:sz="0" w:space="0" w:color="auto"/>
                      </w:divBdr>
                      <w:divsChild>
                        <w:div w:id="215438254">
                          <w:marLeft w:val="0"/>
                          <w:marRight w:val="0"/>
                          <w:marTop w:val="0"/>
                          <w:marBottom w:val="0"/>
                          <w:divBdr>
                            <w:top w:val="none" w:sz="0" w:space="0" w:color="auto"/>
                            <w:left w:val="none" w:sz="0" w:space="0" w:color="auto"/>
                            <w:bottom w:val="none" w:sz="0" w:space="0" w:color="auto"/>
                            <w:right w:val="none" w:sz="0" w:space="0" w:color="auto"/>
                          </w:divBdr>
                          <w:divsChild>
                            <w:div w:id="1479035165">
                              <w:marLeft w:val="0"/>
                              <w:marRight w:val="0"/>
                              <w:marTop w:val="120"/>
                              <w:marBottom w:val="360"/>
                              <w:divBdr>
                                <w:top w:val="none" w:sz="0" w:space="0" w:color="auto"/>
                                <w:left w:val="none" w:sz="0" w:space="0" w:color="auto"/>
                                <w:bottom w:val="none" w:sz="0" w:space="0" w:color="auto"/>
                                <w:right w:val="none" w:sz="0" w:space="0" w:color="auto"/>
                              </w:divBdr>
                              <w:divsChild>
                                <w:div w:id="1383020897">
                                  <w:marLeft w:val="0"/>
                                  <w:marRight w:val="0"/>
                                  <w:marTop w:val="240"/>
                                  <w:marBottom w:val="100"/>
                                  <w:divBdr>
                                    <w:top w:val="none" w:sz="0" w:space="0" w:color="auto"/>
                                    <w:left w:val="none" w:sz="0" w:space="0" w:color="auto"/>
                                    <w:bottom w:val="none" w:sz="0" w:space="0" w:color="auto"/>
                                    <w:right w:val="none" w:sz="0" w:space="0" w:color="auto"/>
                                  </w:divBdr>
                                  <w:divsChild>
                                    <w:div w:id="1714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809901">
      <w:bodyDiv w:val="1"/>
      <w:marLeft w:val="0"/>
      <w:marRight w:val="0"/>
      <w:marTop w:val="0"/>
      <w:marBottom w:val="0"/>
      <w:divBdr>
        <w:top w:val="none" w:sz="0" w:space="0" w:color="auto"/>
        <w:left w:val="none" w:sz="0" w:space="0" w:color="auto"/>
        <w:bottom w:val="none" w:sz="0" w:space="0" w:color="auto"/>
        <w:right w:val="none" w:sz="0" w:space="0" w:color="auto"/>
      </w:divBdr>
    </w:div>
    <w:div w:id="1086457523">
      <w:bodyDiv w:val="1"/>
      <w:marLeft w:val="0"/>
      <w:marRight w:val="0"/>
      <w:marTop w:val="0"/>
      <w:marBottom w:val="0"/>
      <w:divBdr>
        <w:top w:val="none" w:sz="0" w:space="0" w:color="auto"/>
        <w:left w:val="none" w:sz="0" w:space="0" w:color="auto"/>
        <w:bottom w:val="none" w:sz="0" w:space="0" w:color="auto"/>
        <w:right w:val="none" w:sz="0" w:space="0" w:color="auto"/>
      </w:divBdr>
    </w:div>
    <w:div w:id="1362240617">
      <w:bodyDiv w:val="1"/>
      <w:marLeft w:val="0"/>
      <w:marRight w:val="0"/>
      <w:marTop w:val="0"/>
      <w:marBottom w:val="0"/>
      <w:divBdr>
        <w:top w:val="none" w:sz="0" w:space="0" w:color="auto"/>
        <w:left w:val="none" w:sz="0" w:space="0" w:color="auto"/>
        <w:bottom w:val="none" w:sz="0" w:space="0" w:color="auto"/>
        <w:right w:val="none" w:sz="0" w:space="0" w:color="auto"/>
      </w:divBdr>
    </w:div>
    <w:div w:id="1411148966">
      <w:bodyDiv w:val="1"/>
      <w:marLeft w:val="0"/>
      <w:marRight w:val="0"/>
      <w:marTop w:val="0"/>
      <w:marBottom w:val="0"/>
      <w:divBdr>
        <w:top w:val="none" w:sz="0" w:space="0" w:color="auto"/>
        <w:left w:val="none" w:sz="0" w:space="0" w:color="auto"/>
        <w:bottom w:val="none" w:sz="0" w:space="0" w:color="auto"/>
        <w:right w:val="none" w:sz="0" w:space="0" w:color="auto"/>
      </w:divBdr>
    </w:div>
    <w:div w:id="1573082345">
      <w:bodyDiv w:val="1"/>
      <w:marLeft w:val="0"/>
      <w:marRight w:val="0"/>
      <w:marTop w:val="0"/>
      <w:marBottom w:val="0"/>
      <w:divBdr>
        <w:top w:val="none" w:sz="0" w:space="0" w:color="auto"/>
        <w:left w:val="none" w:sz="0" w:space="0" w:color="auto"/>
        <w:bottom w:val="none" w:sz="0" w:space="0" w:color="auto"/>
        <w:right w:val="none" w:sz="0" w:space="0" w:color="auto"/>
      </w:divBdr>
    </w:div>
    <w:div w:id="1774857250">
      <w:bodyDiv w:val="1"/>
      <w:marLeft w:val="0"/>
      <w:marRight w:val="0"/>
      <w:marTop w:val="0"/>
      <w:marBottom w:val="0"/>
      <w:divBdr>
        <w:top w:val="none" w:sz="0" w:space="0" w:color="auto"/>
        <w:left w:val="none" w:sz="0" w:space="0" w:color="auto"/>
        <w:bottom w:val="none" w:sz="0" w:space="0" w:color="auto"/>
        <w:right w:val="none" w:sz="0" w:space="0" w:color="auto"/>
      </w:divBdr>
    </w:div>
    <w:div w:id="17989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nagar.ORADEV\Documents\Priya_Journal_Articles\JOMFP\Instruction%20DOCS\CaseReport_ArticleFile.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unagar.ORADEV\Documents\Priya_Journal_Articles\JOMFP\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US"/>
              <a:t>OCCURANCE</a:t>
            </a:r>
            <a:r>
              <a:rPr lang="en-US" baseline="0"/>
              <a:t> OF SUPER NUMERARY IN MEN &amp; WOMEN </a:t>
            </a:r>
          </a:p>
        </c:rich>
      </c:tx>
    </c:title>
    <c:view3D>
      <c:rAngAx val="1"/>
    </c:view3D>
    <c:plotArea>
      <c:layout/>
      <c:bar3DChart>
        <c:barDir val="bar"/>
        <c:grouping val="clustered"/>
        <c:ser>
          <c:idx val="0"/>
          <c:order val="0"/>
          <c:tx>
            <c:v>Males</c:v>
          </c:tx>
          <c:dLbls>
            <c:dLbl>
              <c:idx val="0"/>
              <c:layout>
                <c:manualLayout>
                  <c:x val="2.1548816978431681E-2"/>
                  <c:y val="0"/>
                </c:manualLayout>
              </c:layout>
              <c:showVal val="1"/>
            </c:dLbl>
            <c:dLbl>
              <c:idx val="1"/>
              <c:layout>
                <c:manualLayout>
                  <c:x val="1.0774408489216111E-2"/>
                  <c:y val="0"/>
                </c:manualLayout>
              </c:layout>
              <c:showVal val="1"/>
            </c:dLbl>
            <c:dLbl>
              <c:idx val="2"/>
              <c:layout>
                <c:manualLayout>
                  <c:x val="8.080806366911877E-3"/>
                  <c:y val="1.1594197606209201E-2"/>
                </c:manualLayout>
              </c:layout>
              <c:showVal val="1"/>
            </c:dLbl>
            <c:dLbl>
              <c:idx val="3"/>
              <c:layout>
                <c:manualLayout>
                  <c:x val="1.3468010611520009E-2"/>
                  <c:y val="2.8985494015522592E-3"/>
                </c:manualLayout>
              </c:layout>
              <c:showVal val="1"/>
            </c:dLbl>
            <c:dLbl>
              <c:idx val="4"/>
              <c:layout>
                <c:manualLayout>
                  <c:x val="1.3468010611520021E-2"/>
                  <c:y val="0"/>
                </c:manualLayout>
              </c:layout>
              <c:showVal val="1"/>
            </c:dLbl>
            <c:showVal val="1"/>
          </c:dLbls>
          <c:cat>
            <c:strRef>
              <c:f>FINAL!$J$65:$N$65</c:f>
              <c:strCache>
                <c:ptCount val="5"/>
                <c:pt idx="0">
                  <c:v>Anterior</c:v>
                </c:pt>
                <c:pt idx="1">
                  <c:v>Premolar</c:v>
                </c:pt>
                <c:pt idx="2">
                  <c:v>Molar</c:v>
                </c:pt>
                <c:pt idx="3">
                  <c:v>Distomolar</c:v>
                </c:pt>
                <c:pt idx="4">
                  <c:v>Mesiodens</c:v>
                </c:pt>
              </c:strCache>
            </c:strRef>
          </c:cat>
          <c:val>
            <c:numRef>
              <c:f>FINAL!$J$66:$N$66</c:f>
              <c:numCache>
                <c:formatCode>0.00%</c:formatCode>
                <c:ptCount val="5"/>
                <c:pt idx="0">
                  <c:v>0.14480874316940118</c:v>
                </c:pt>
                <c:pt idx="1">
                  <c:v>0.7158469945355278</c:v>
                </c:pt>
                <c:pt idx="2">
                  <c:v>9.5628415300548011E-2</c:v>
                </c:pt>
                <c:pt idx="3">
                  <c:v>3.0054644808743251E-2</c:v>
                </c:pt>
                <c:pt idx="4">
                  <c:v>1.3661202185792349E-2</c:v>
                </c:pt>
              </c:numCache>
            </c:numRef>
          </c:val>
        </c:ser>
        <c:ser>
          <c:idx val="1"/>
          <c:order val="1"/>
          <c:tx>
            <c:v>Females</c:v>
          </c:tx>
          <c:dLbls>
            <c:dLbl>
              <c:idx val="0"/>
              <c:layout>
                <c:manualLayout>
                  <c:x val="0"/>
                  <c:y val="-1.4492747007761268E-2"/>
                </c:manualLayout>
              </c:layout>
              <c:showVal val="1"/>
            </c:dLbl>
            <c:dLbl>
              <c:idx val="1"/>
              <c:layout>
                <c:manualLayout>
                  <c:x val="1.0774196394560665E-2"/>
                  <c:y val="-2.8985494015522539E-2"/>
                </c:manualLayout>
              </c:layout>
              <c:showVal val="1"/>
            </c:dLbl>
            <c:dLbl>
              <c:idx val="2"/>
              <c:layout>
                <c:manualLayout>
                  <c:x val="1.0774408489216028E-2"/>
                  <c:y val="-5.7970988031046094E-3"/>
                </c:manualLayout>
              </c:layout>
              <c:showVal val="1"/>
            </c:dLbl>
            <c:dLbl>
              <c:idx val="3"/>
              <c:layout>
                <c:manualLayout>
                  <c:x val="1.6161612733823761E-2"/>
                  <c:y val="-5.7970988031046094E-3"/>
                </c:manualLayout>
              </c:layout>
              <c:showVal val="1"/>
            </c:dLbl>
            <c:dLbl>
              <c:idx val="4"/>
              <c:layout>
                <c:manualLayout>
                  <c:x val="1.8855214856127723E-2"/>
                  <c:y val="0"/>
                </c:manualLayout>
              </c:layout>
              <c:showVal val="1"/>
            </c:dLbl>
            <c:showVal val="1"/>
          </c:dLbls>
          <c:cat>
            <c:strRef>
              <c:f>FINAL!$J$65:$N$65</c:f>
              <c:strCache>
                <c:ptCount val="5"/>
                <c:pt idx="0">
                  <c:v>Anterior</c:v>
                </c:pt>
                <c:pt idx="1">
                  <c:v>Premolar</c:v>
                </c:pt>
                <c:pt idx="2">
                  <c:v>Molar</c:v>
                </c:pt>
                <c:pt idx="3">
                  <c:v>Distomolar</c:v>
                </c:pt>
                <c:pt idx="4">
                  <c:v>Mesiodens</c:v>
                </c:pt>
              </c:strCache>
            </c:strRef>
          </c:cat>
          <c:val>
            <c:numRef>
              <c:f>FINAL!$J$67:$N$67</c:f>
              <c:numCache>
                <c:formatCode>0.00%</c:formatCode>
                <c:ptCount val="5"/>
                <c:pt idx="0">
                  <c:v>0.12578616352201274</c:v>
                </c:pt>
                <c:pt idx="1">
                  <c:v>0.67924528301888676</c:v>
                </c:pt>
                <c:pt idx="2">
                  <c:v>0.13836477987421383</c:v>
                </c:pt>
                <c:pt idx="3">
                  <c:v>3.7735849056604452E-2</c:v>
                </c:pt>
                <c:pt idx="4">
                  <c:v>1.8867924528301903E-2</c:v>
                </c:pt>
              </c:numCache>
            </c:numRef>
          </c:val>
        </c:ser>
        <c:shape val="box"/>
        <c:axId val="106893312"/>
        <c:axId val="106895232"/>
        <c:axId val="0"/>
      </c:bar3DChart>
      <c:catAx>
        <c:axId val="106893312"/>
        <c:scaling>
          <c:orientation val="minMax"/>
        </c:scaling>
        <c:axPos val="l"/>
        <c:majorTickMark val="none"/>
        <c:tickLblPos val="nextTo"/>
        <c:crossAx val="106895232"/>
        <c:crosses val="autoZero"/>
        <c:auto val="1"/>
        <c:lblAlgn val="ctr"/>
        <c:lblOffset val="100"/>
      </c:catAx>
      <c:valAx>
        <c:axId val="106895232"/>
        <c:scaling>
          <c:orientation val="minMax"/>
        </c:scaling>
        <c:axPos val="b"/>
        <c:majorGridlines/>
        <c:numFmt formatCode="0.00%" sourceLinked="1"/>
        <c:majorTickMark val="none"/>
        <c:tickLblPos val="nextTo"/>
        <c:crossAx val="106893312"/>
        <c:crosses val="autoZero"/>
        <c:crossBetween val="between"/>
      </c:valAx>
      <c:dTable>
        <c:showHorzBorder val="1"/>
        <c:showVertBorder val="1"/>
        <c:showOutline val="1"/>
        <c:showKeys val="1"/>
      </c:dTable>
    </c:plotArea>
    <c:plotVisOnly val="1"/>
  </c:chart>
  <c:txPr>
    <a:bodyPr/>
    <a:lstStyle/>
    <a:p>
      <a:pPr>
        <a:defRPr b="1"/>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0.60337</cdr:x>
      <cdr:y>0.0052</cdr:y>
    </cdr:from>
    <cdr:to>
      <cdr:x>0.78798</cdr:x>
      <cdr:y>0.20468</cdr:y>
    </cdr:to>
    <cdr:sp macro="" textlink="">
      <cdr:nvSpPr>
        <cdr:cNvPr id="2" name="TextBox 1"/>
        <cdr:cNvSpPr txBox="1"/>
      </cdr:nvSpPr>
      <cdr:spPr>
        <a:xfrm xmlns:a="http://schemas.openxmlformats.org/drawingml/2006/main">
          <a:off x="2988469" y="2381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7EA49-B79D-4B57-B2C0-25824633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CaseReport_ArticleFile</Template>
  <TotalTime>23</TotalTime>
  <Pages>18</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punit nagar</dc:creator>
  <cp:lastModifiedBy>doctor</cp:lastModifiedBy>
  <cp:revision>6</cp:revision>
  <cp:lastPrinted>1601-01-01T00:00:00Z</cp:lastPrinted>
  <dcterms:created xsi:type="dcterms:W3CDTF">2015-02-27T04:07:00Z</dcterms:created>
  <dcterms:modified xsi:type="dcterms:W3CDTF">2015-02-27T05:07:00Z</dcterms:modified>
</cp:coreProperties>
</file>