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48F8" w:rsidRDefault="002448F8" w:rsidP="003A7AC7">
      <w:pPr>
        <w:spacing w:line="360" w:lineRule="auto"/>
        <w:rPr>
          <w:b/>
          <w:bCs/>
          <w:color w:val="000000" w:themeColor="text1"/>
          <w:sz w:val="24"/>
          <w:szCs w:val="24"/>
        </w:rPr>
      </w:pPr>
      <w:r>
        <w:rPr>
          <w:b/>
          <w:bCs/>
          <w:color w:val="000000" w:themeColor="text1"/>
          <w:sz w:val="24"/>
          <w:szCs w:val="24"/>
        </w:rPr>
        <w:t>Manuscript</w:t>
      </w:r>
    </w:p>
    <w:p w:rsidR="00E20607" w:rsidRPr="00EC208F" w:rsidRDefault="00B54735" w:rsidP="003A7AC7">
      <w:pPr>
        <w:spacing w:line="360" w:lineRule="auto"/>
        <w:rPr>
          <w:b/>
          <w:bCs/>
          <w:color w:val="000000" w:themeColor="text1"/>
          <w:sz w:val="24"/>
          <w:szCs w:val="24"/>
        </w:rPr>
      </w:pPr>
      <w:r w:rsidRPr="00EC208F">
        <w:rPr>
          <w:b/>
          <w:bCs/>
          <w:color w:val="000000" w:themeColor="text1"/>
          <w:sz w:val="24"/>
          <w:szCs w:val="24"/>
        </w:rPr>
        <w:t>Introduction:</w:t>
      </w:r>
    </w:p>
    <w:p w:rsidR="00964384" w:rsidRPr="00EC208F" w:rsidRDefault="00964384" w:rsidP="003A7AC7">
      <w:pPr>
        <w:spacing w:line="360" w:lineRule="auto"/>
        <w:ind w:firstLine="720"/>
        <w:rPr>
          <w:color w:val="000000" w:themeColor="text1"/>
          <w:sz w:val="24"/>
          <w:szCs w:val="24"/>
        </w:rPr>
      </w:pPr>
    </w:p>
    <w:p w:rsidR="00E27340" w:rsidRPr="00EC208F" w:rsidRDefault="00E27340" w:rsidP="003A7AC7">
      <w:pPr>
        <w:spacing w:line="360" w:lineRule="auto"/>
        <w:ind w:firstLine="720"/>
        <w:rPr>
          <w:color w:val="000000" w:themeColor="text1"/>
          <w:sz w:val="24"/>
          <w:szCs w:val="24"/>
        </w:rPr>
      </w:pPr>
      <w:r w:rsidRPr="00EC208F">
        <w:rPr>
          <w:color w:val="000000" w:themeColor="text1"/>
          <w:sz w:val="24"/>
          <w:szCs w:val="24"/>
        </w:rPr>
        <w:t>Dental caries and periodontal diseases have historically been considered the most important global oral health burdens.</w:t>
      </w:r>
      <w:r w:rsidR="00BE55AA" w:rsidRPr="00EC208F">
        <w:rPr>
          <w:color w:val="000000" w:themeColor="text1"/>
          <w:sz w:val="24"/>
          <w:szCs w:val="24"/>
          <w:vertAlign w:val="superscript"/>
        </w:rPr>
        <w:t>1</w:t>
      </w:r>
      <w:r w:rsidRPr="00EC208F">
        <w:rPr>
          <w:color w:val="000000" w:themeColor="text1"/>
          <w:sz w:val="24"/>
          <w:szCs w:val="24"/>
        </w:rPr>
        <w:t xml:space="preserve"> </w:t>
      </w:r>
      <w:r w:rsidRPr="00EC208F">
        <w:rPr>
          <w:color w:val="000000" w:themeColor="text1"/>
          <w:sz w:val="24"/>
          <w:szCs w:val="24"/>
          <w:lang w:val="en-IN"/>
        </w:rPr>
        <w:t>Malocclusion has been graded as the third dental public health problem by World Health Organization.</w:t>
      </w:r>
      <w:r w:rsidR="00BE55AA" w:rsidRPr="00EC208F">
        <w:rPr>
          <w:color w:val="000000" w:themeColor="text1"/>
          <w:sz w:val="24"/>
          <w:szCs w:val="24"/>
          <w:vertAlign w:val="superscript"/>
          <w:lang w:val="en-IN"/>
        </w:rPr>
        <w:t>2</w:t>
      </w:r>
      <w:r w:rsidRPr="00EC208F">
        <w:rPr>
          <w:color w:val="000000" w:themeColor="text1"/>
          <w:sz w:val="24"/>
          <w:szCs w:val="24"/>
          <w:vertAlign w:val="superscript"/>
          <w:lang w:val="en-IN"/>
        </w:rPr>
        <w:t xml:space="preserve"> </w:t>
      </w:r>
      <w:r w:rsidRPr="00EC208F">
        <w:rPr>
          <w:color w:val="000000" w:themeColor="text1"/>
          <w:sz w:val="24"/>
          <w:szCs w:val="24"/>
        </w:rPr>
        <w:t>The prevalence of malocclusion varies between different populations, ethnicities and age groups</w:t>
      </w:r>
      <w:r w:rsidRPr="00D14A73">
        <w:rPr>
          <w:sz w:val="24"/>
          <w:szCs w:val="24"/>
        </w:rPr>
        <w:t xml:space="preserve">. </w:t>
      </w:r>
      <w:r w:rsidR="00BE55AA" w:rsidRPr="00D14A73">
        <w:rPr>
          <w:sz w:val="24"/>
          <w:szCs w:val="24"/>
          <w:vertAlign w:val="superscript"/>
        </w:rPr>
        <w:t>3,4,5,6</w:t>
      </w:r>
      <w:r w:rsidR="00D01097">
        <w:rPr>
          <w:sz w:val="24"/>
          <w:szCs w:val="24"/>
          <w:vertAlign w:val="superscript"/>
        </w:rPr>
        <w:t xml:space="preserve"> </w:t>
      </w:r>
      <w:r w:rsidR="00964384" w:rsidRPr="00EC208F">
        <w:rPr>
          <w:color w:val="000000" w:themeColor="text1"/>
          <w:sz w:val="24"/>
          <w:szCs w:val="24"/>
        </w:rPr>
        <w:t xml:space="preserve"> </w:t>
      </w:r>
      <w:r w:rsidRPr="00EC208F">
        <w:rPr>
          <w:color w:val="000000" w:themeColor="text1"/>
          <w:sz w:val="24"/>
          <w:szCs w:val="24"/>
          <w:lang w:val="en-IN"/>
        </w:rPr>
        <w:t>There has been increase in number of patients undergoing orthodontic therapy mainly to improve their Dentofacial esthetics and also for medical and dental reasons.</w:t>
      </w:r>
      <w:r w:rsidR="00BE55AA" w:rsidRPr="00EC208F">
        <w:rPr>
          <w:color w:val="000000" w:themeColor="text1"/>
          <w:sz w:val="24"/>
          <w:szCs w:val="24"/>
          <w:vertAlign w:val="superscript"/>
          <w:lang w:val="en-IN"/>
        </w:rPr>
        <w:t>7</w:t>
      </w:r>
      <w:r w:rsidRPr="00EC208F">
        <w:rPr>
          <w:color w:val="000000" w:themeColor="text1"/>
          <w:sz w:val="24"/>
          <w:szCs w:val="24"/>
        </w:rPr>
        <w:t xml:space="preserve"> Usually orthodontic patients evaluate treatment outcomes in terms of their smiles and overall enhancement in their facial appearance neglecting the consequences of orthodontic treatment.</w:t>
      </w:r>
      <w:r w:rsidR="00BE55AA" w:rsidRPr="00EC208F">
        <w:rPr>
          <w:color w:val="000000" w:themeColor="text1"/>
          <w:sz w:val="24"/>
          <w:szCs w:val="24"/>
          <w:vertAlign w:val="superscript"/>
        </w:rPr>
        <w:t>8</w:t>
      </w:r>
    </w:p>
    <w:p w:rsidR="00402645" w:rsidRPr="00EC208F" w:rsidRDefault="00402645" w:rsidP="003A7AC7">
      <w:pPr>
        <w:spacing w:line="360" w:lineRule="auto"/>
        <w:ind w:firstLine="720"/>
        <w:rPr>
          <w:color w:val="000000" w:themeColor="text1"/>
          <w:sz w:val="24"/>
          <w:szCs w:val="24"/>
          <w:lang w:val="en-IN"/>
        </w:rPr>
      </w:pPr>
      <w:r w:rsidRPr="00EC208F">
        <w:rPr>
          <w:color w:val="000000" w:themeColor="text1"/>
          <w:sz w:val="24"/>
          <w:szCs w:val="24"/>
          <w:lang w:val="en-IN"/>
        </w:rPr>
        <w:t>O</w:t>
      </w:r>
      <w:r w:rsidR="00E27340" w:rsidRPr="00EC208F">
        <w:rPr>
          <w:color w:val="000000" w:themeColor="text1"/>
          <w:sz w:val="24"/>
          <w:szCs w:val="24"/>
          <w:lang w:val="en-IN"/>
        </w:rPr>
        <w:t xml:space="preserve">rthodontic treatment with fixed appliances based on brackets and archwires creates numerous plaque retention sites and </w:t>
      </w:r>
      <w:r w:rsidRPr="00EC208F">
        <w:rPr>
          <w:color w:val="000000" w:themeColor="text1"/>
          <w:sz w:val="24"/>
          <w:szCs w:val="24"/>
          <w:lang w:val="en-IN"/>
        </w:rPr>
        <w:t>thus increases a patient’s risk of developing caries and inflammatory reactions in gingival tissue. In addition, the majority of patients undergoing orthodontic treatment are teenagers. This may also enhance the risk of poor compliance regarding plaque control and prevention.</w:t>
      </w:r>
      <w:r w:rsidR="00BE55AA" w:rsidRPr="00EC208F">
        <w:rPr>
          <w:color w:val="000000" w:themeColor="text1"/>
          <w:sz w:val="24"/>
          <w:szCs w:val="24"/>
          <w:vertAlign w:val="superscript"/>
          <w:lang w:val="en-IN"/>
        </w:rPr>
        <w:t>9</w:t>
      </w:r>
      <w:r w:rsidR="00E27340" w:rsidRPr="00EC208F">
        <w:rPr>
          <w:color w:val="000000" w:themeColor="text1"/>
          <w:sz w:val="24"/>
          <w:szCs w:val="24"/>
          <w:lang w:val="en-IN"/>
        </w:rPr>
        <w:t xml:space="preserve"> </w:t>
      </w:r>
      <w:r w:rsidR="00BE55AA" w:rsidRPr="00EC208F">
        <w:rPr>
          <w:color w:val="000000" w:themeColor="text1"/>
          <w:sz w:val="24"/>
          <w:szCs w:val="24"/>
          <w:lang w:val="en-IN"/>
        </w:rPr>
        <w:t>Several reports</w:t>
      </w:r>
      <w:r w:rsidRPr="00EC208F">
        <w:rPr>
          <w:color w:val="000000" w:themeColor="text1"/>
          <w:sz w:val="24"/>
          <w:szCs w:val="24"/>
          <w:lang w:val="en-IN"/>
        </w:rPr>
        <w:t xml:space="preserve"> have documented significant increases in oral bacteria during orthodontic treatment.</w:t>
      </w:r>
      <w:r w:rsidR="00BE55AA" w:rsidRPr="00EC208F">
        <w:rPr>
          <w:color w:val="000000" w:themeColor="text1"/>
          <w:sz w:val="24"/>
          <w:szCs w:val="24"/>
          <w:vertAlign w:val="superscript"/>
          <w:lang w:val="en-IN"/>
        </w:rPr>
        <w:t>10,11</w:t>
      </w:r>
      <w:r w:rsidRPr="00EC208F">
        <w:rPr>
          <w:color w:val="000000" w:themeColor="text1"/>
          <w:sz w:val="24"/>
          <w:szCs w:val="24"/>
          <w:lang w:val="en-IN"/>
        </w:rPr>
        <w:t xml:space="preserve"> Some researchers believe that orthodontic therapy makes good oral hygiene more difficult, modifying the oral environment. </w:t>
      </w:r>
      <w:r w:rsidR="00E3514D" w:rsidRPr="00EC208F">
        <w:rPr>
          <w:color w:val="000000" w:themeColor="text1"/>
          <w:sz w:val="24"/>
          <w:szCs w:val="24"/>
          <w:lang w:val="en-IN"/>
        </w:rPr>
        <w:t>After removal of bands and brackets at the end of active orthodontic treatment, clinical examinations often identify the presence of carious lesions and gingival inflamation which may range in severity.</w:t>
      </w:r>
    </w:p>
    <w:p w:rsidR="00E27340" w:rsidRPr="00EC208F" w:rsidRDefault="00E27340" w:rsidP="003A7AC7">
      <w:pPr>
        <w:spacing w:line="360" w:lineRule="auto"/>
        <w:ind w:firstLine="720"/>
        <w:rPr>
          <w:color w:val="000000" w:themeColor="text1"/>
          <w:sz w:val="24"/>
          <w:szCs w:val="24"/>
          <w:lang w:val="en-IN"/>
        </w:rPr>
      </w:pPr>
      <w:r w:rsidRPr="00EC208F">
        <w:rPr>
          <w:color w:val="000000" w:themeColor="text1"/>
          <w:sz w:val="24"/>
          <w:szCs w:val="24"/>
        </w:rPr>
        <w:t xml:space="preserve">However, descriptions of changes in the oral health status of dental patients during orthodontic therapy are sparse in the literature. </w:t>
      </w:r>
      <w:r w:rsidRPr="00EC208F">
        <w:rPr>
          <w:color w:val="000000" w:themeColor="text1"/>
          <w:sz w:val="24"/>
          <w:szCs w:val="24"/>
          <w:lang w:val="en-IN"/>
        </w:rPr>
        <w:t>The available scientific literature has assessed oral health status before and after the orthodontic therapy. Hence, an attempt has been made to assess the oral health status in patients who are currently undergo</w:t>
      </w:r>
      <w:r w:rsidR="00E3514D" w:rsidRPr="00EC208F">
        <w:rPr>
          <w:color w:val="000000" w:themeColor="text1"/>
          <w:sz w:val="24"/>
          <w:szCs w:val="24"/>
          <w:lang w:val="en-IN"/>
        </w:rPr>
        <w:t>ing fixed orthodontic treatment.</w:t>
      </w:r>
    </w:p>
    <w:p w:rsidR="00E3514D" w:rsidRPr="00EC208F" w:rsidRDefault="00307C48" w:rsidP="003A7AC7">
      <w:pPr>
        <w:spacing w:line="360" w:lineRule="auto"/>
        <w:rPr>
          <w:b/>
          <w:bCs/>
          <w:color w:val="000000" w:themeColor="text1"/>
          <w:sz w:val="24"/>
          <w:szCs w:val="24"/>
        </w:rPr>
      </w:pPr>
      <w:r w:rsidRPr="00EC208F">
        <w:rPr>
          <w:b/>
          <w:bCs/>
          <w:color w:val="000000" w:themeColor="text1"/>
          <w:sz w:val="24"/>
          <w:szCs w:val="24"/>
        </w:rPr>
        <w:t>Material and Methods</w:t>
      </w:r>
    </w:p>
    <w:p w:rsidR="00E3514D" w:rsidRPr="00EC208F" w:rsidRDefault="00E3514D" w:rsidP="00F9493B">
      <w:pPr>
        <w:spacing w:line="360" w:lineRule="auto"/>
        <w:ind w:firstLine="360"/>
        <w:rPr>
          <w:color w:val="000000" w:themeColor="text1"/>
          <w:sz w:val="24"/>
          <w:szCs w:val="24"/>
          <w:lang w:val="en-IN"/>
        </w:rPr>
      </w:pPr>
      <w:r w:rsidRPr="00EC208F">
        <w:rPr>
          <w:color w:val="000000" w:themeColor="text1"/>
          <w:sz w:val="24"/>
          <w:szCs w:val="24"/>
        </w:rPr>
        <w:t>The present study is a cross- sectional descriptive study. Prior to the start of the study, a protocol of the intended study was presented to the Institutional Ethical Review Board and later ethical clearance for the present study was obtained</w:t>
      </w:r>
      <w:r w:rsidRPr="00EC208F">
        <w:rPr>
          <w:color w:val="000000" w:themeColor="text1"/>
          <w:sz w:val="24"/>
          <w:szCs w:val="24"/>
          <w:lang w:val="en-IN"/>
        </w:rPr>
        <w:t xml:space="preserve">. </w:t>
      </w:r>
      <w:r w:rsidRPr="00EC208F">
        <w:rPr>
          <w:color w:val="000000" w:themeColor="text1"/>
          <w:sz w:val="24"/>
          <w:szCs w:val="24"/>
        </w:rPr>
        <w:t xml:space="preserve">The study population consists of </w:t>
      </w:r>
      <w:r w:rsidRPr="00EC208F">
        <w:rPr>
          <w:color w:val="000000" w:themeColor="text1"/>
          <w:sz w:val="24"/>
          <w:szCs w:val="24"/>
        </w:rPr>
        <w:lastRenderedPageBreak/>
        <w:t xml:space="preserve">253 patients (78 males &amp; 175 females) aged between 15-24 years undergoing </w:t>
      </w:r>
      <w:r w:rsidRPr="00EC208F">
        <w:rPr>
          <w:color w:val="000000" w:themeColor="text1"/>
          <w:sz w:val="24"/>
          <w:szCs w:val="24"/>
          <w:lang w:val="en-IN"/>
        </w:rPr>
        <w:t>fixed orthodontic treatment</w:t>
      </w:r>
      <w:r w:rsidRPr="00EC208F">
        <w:rPr>
          <w:color w:val="000000" w:themeColor="text1"/>
          <w:sz w:val="24"/>
          <w:szCs w:val="24"/>
        </w:rPr>
        <w:t xml:space="preserve"> and were </w:t>
      </w:r>
      <w:r w:rsidRPr="00EC208F">
        <w:rPr>
          <w:color w:val="000000" w:themeColor="text1"/>
          <w:sz w:val="24"/>
          <w:szCs w:val="24"/>
          <w:lang w:val="en-IN"/>
        </w:rPr>
        <w:t xml:space="preserve">randomly selected from the Department of Orthodontics and Dentofacial Orthopedics at Private Dental Institute </w:t>
      </w:r>
      <w:r w:rsidRPr="00EC208F">
        <w:rPr>
          <w:color w:val="000000" w:themeColor="text1"/>
          <w:sz w:val="24"/>
          <w:szCs w:val="24"/>
        </w:rPr>
        <w:t>(</w:t>
      </w:r>
      <w:r w:rsidRPr="00EC208F">
        <w:rPr>
          <w:color w:val="000000" w:themeColor="text1"/>
          <w:sz w:val="24"/>
          <w:szCs w:val="24"/>
          <w:lang w:val="en-IN"/>
        </w:rPr>
        <w:t>criteria based random sampling). An informed consent explaining the study design and purpose was also obtained from every patient prior to their participation in the study.</w:t>
      </w:r>
      <w:r w:rsidR="002169F6" w:rsidRPr="00EC208F">
        <w:rPr>
          <w:color w:val="000000" w:themeColor="text1"/>
          <w:sz w:val="24"/>
          <w:szCs w:val="24"/>
          <w:lang w:val="en-IN"/>
        </w:rPr>
        <w:t xml:space="preserve"> The </w:t>
      </w:r>
      <w:r w:rsidR="002169F6" w:rsidRPr="00EC208F">
        <w:rPr>
          <w:color w:val="000000" w:themeColor="text1"/>
          <w:sz w:val="24"/>
          <w:szCs w:val="24"/>
        </w:rPr>
        <w:t>p</w:t>
      </w:r>
      <w:r w:rsidRPr="00EC208F">
        <w:rPr>
          <w:color w:val="000000" w:themeColor="text1"/>
          <w:sz w:val="24"/>
          <w:szCs w:val="24"/>
        </w:rPr>
        <w:t>at</w:t>
      </w:r>
      <w:r w:rsidR="002169F6" w:rsidRPr="00EC208F">
        <w:rPr>
          <w:color w:val="000000" w:themeColor="text1"/>
          <w:sz w:val="24"/>
          <w:szCs w:val="24"/>
        </w:rPr>
        <w:t>ients with any systemic disease, cleft lip and cleft palate, h</w:t>
      </w:r>
      <w:r w:rsidRPr="00EC208F">
        <w:rPr>
          <w:color w:val="000000" w:themeColor="text1"/>
          <w:sz w:val="24"/>
          <w:szCs w:val="24"/>
        </w:rPr>
        <w:t>istory of takin</w:t>
      </w:r>
      <w:r w:rsidR="002169F6" w:rsidRPr="00EC208F">
        <w:rPr>
          <w:color w:val="000000" w:themeColor="text1"/>
          <w:sz w:val="24"/>
          <w:szCs w:val="24"/>
        </w:rPr>
        <w:t xml:space="preserve">g </w:t>
      </w:r>
      <w:r w:rsidR="00F9493B" w:rsidRPr="00EC208F">
        <w:rPr>
          <w:color w:val="000000" w:themeColor="text1"/>
          <w:sz w:val="24"/>
          <w:szCs w:val="24"/>
        </w:rPr>
        <w:t xml:space="preserve">any </w:t>
      </w:r>
      <w:r w:rsidR="002169F6" w:rsidRPr="00EC208F">
        <w:rPr>
          <w:color w:val="000000" w:themeColor="text1"/>
          <w:sz w:val="24"/>
          <w:szCs w:val="24"/>
        </w:rPr>
        <w:t xml:space="preserve">antibiotics for last 3 months and those </w:t>
      </w:r>
      <w:r w:rsidRPr="00EC208F">
        <w:rPr>
          <w:color w:val="000000" w:themeColor="text1"/>
          <w:sz w:val="24"/>
          <w:szCs w:val="24"/>
        </w:rPr>
        <w:t>undergoing periodontal treatment</w:t>
      </w:r>
      <w:r w:rsidR="002169F6" w:rsidRPr="00EC208F">
        <w:rPr>
          <w:color w:val="000000" w:themeColor="text1"/>
          <w:sz w:val="24"/>
          <w:szCs w:val="24"/>
        </w:rPr>
        <w:t xml:space="preserve"> were excluded from the study</w:t>
      </w:r>
      <w:r w:rsidRPr="00EC208F">
        <w:rPr>
          <w:color w:val="000000" w:themeColor="text1"/>
          <w:sz w:val="24"/>
          <w:szCs w:val="24"/>
        </w:rPr>
        <w:t>.</w:t>
      </w:r>
      <w:r w:rsidR="00F9493B" w:rsidRPr="00EC208F">
        <w:rPr>
          <w:color w:val="000000" w:themeColor="text1"/>
          <w:sz w:val="24"/>
          <w:szCs w:val="24"/>
          <w:lang w:val="en-IN"/>
        </w:rPr>
        <w:t xml:space="preserve"> </w:t>
      </w:r>
      <w:r w:rsidRPr="00EC208F">
        <w:rPr>
          <w:color w:val="000000" w:themeColor="text1"/>
          <w:sz w:val="24"/>
          <w:szCs w:val="24"/>
        </w:rPr>
        <w:t>The study was systematically scheduled for a period of 5 months from January 2014 to May 2014. Schedule for the examination was prepared well in advance. On an average, 4-6 patients were examined per day during the study period.</w:t>
      </w:r>
      <w:r w:rsidRPr="00EC208F">
        <w:rPr>
          <w:b/>
          <w:color w:val="000000" w:themeColor="text1"/>
          <w:sz w:val="24"/>
          <w:szCs w:val="24"/>
        </w:rPr>
        <w:t xml:space="preserve"> </w:t>
      </w:r>
      <w:r w:rsidRPr="00EC208F">
        <w:rPr>
          <w:color w:val="000000" w:themeColor="text1"/>
          <w:sz w:val="24"/>
          <w:szCs w:val="24"/>
        </w:rPr>
        <w:t xml:space="preserve">The examination protocol included a clinical examination under direct illumination on a dental chair using a light reflector and a three way syringe. </w:t>
      </w:r>
    </w:p>
    <w:p w:rsidR="00E3514D" w:rsidRPr="00EC208F" w:rsidRDefault="00E3514D" w:rsidP="003A7AC7">
      <w:pPr>
        <w:spacing w:line="360" w:lineRule="auto"/>
        <w:ind w:firstLine="360"/>
        <w:rPr>
          <w:color w:val="000000" w:themeColor="text1"/>
          <w:sz w:val="24"/>
          <w:szCs w:val="24"/>
        </w:rPr>
      </w:pPr>
      <w:r w:rsidRPr="00EC208F">
        <w:rPr>
          <w:color w:val="000000" w:themeColor="text1"/>
          <w:sz w:val="24"/>
          <w:szCs w:val="24"/>
        </w:rPr>
        <w:t xml:space="preserve">The clinical examination of every patient was carried out by single investigator (KJ). Before the start of the survey, the examiner was trained and calibrated at the department of Public Health dentistry, </w:t>
      </w:r>
      <w:r w:rsidRPr="00EC208F">
        <w:rPr>
          <w:color w:val="000000" w:themeColor="text1"/>
          <w:sz w:val="24"/>
          <w:szCs w:val="24"/>
          <w:lang w:val="en-IN"/>
        </w:rPr>
        <w:t>Private Dental Institute,</w:t>
      </w:r>
      <w:r w:rsidRPr="00EC208F">
        <w:rPr>
          <w:color w:val="000000" w:themeColor="text1"/>
          <w:sz w:val="24"/>
          <w:szCs w:val="24"/>
        </w:rPr>
        <w:t xml:space="preserve"> in order to limit the intra-examiner variability. The calibration was done on small group of subjects. To determine intra-examiner variability, the oral examination of 10 randomly selected subjects was repeated on different dates. The results so obtained were subjected to Kappa statistics. </w:t>
      </w:r>
    </w:p>
    <w:p w:rsidR="00E3514D" w:rsidRPr="00EC208F" w:rsidRDefault="00E3514D" w:rsidP="003A7AC7">
      <w:pPr>
        <w:spacing w:line="360" w:lineRule="auto"/>
        <w:rPr>
          <w:b/>
          <w:bCs/>
          <w:color w:val="000000" w:themeColor="text1"/>
          <w:sz w:val="24"/>
          <w:szCs w:val="24"/>
        </w:rPr>
      </w:pPr>
      <w:r w:rsidRPr="00EC208F">
        <w:rPr>
          <w:b/>
          <w:bCs/>
          <w:color w:val="000000" w:themeColor="text1"/>
          <w:sz w:val="24"/>
          <w:szCs w:val="24"/>
        </w:rPr>
        <w:t>Clinical examination:</w:t>
      </w:r>
    </w:p>
    <w:p w:rsidR="00E3514D" w:rsidRPr="00EC208F" w:rsidRDefault="00E3514D" w:rsidP="003A7AC7">
      <w:pPr>
        <w:spacing w:line="360" w:lineRule="auto"/>
        <w:ind w:firstLine="420"/>
        <w:rPr>
          <w:color w:val="000000" w:themeColor="text1"/>
          <w:sz w:val="24"/>
          <w:szCs w:val="24"/>
        </w:rPr>
      </w:pPr>
      <w:r w:rsidRPr="00EC208F">
        <w:rPr>
          <w:color w:val="000000" w:themeColor="text1"/>
          <w:sz w:val="24"/>
          <w:szCs w:val="24"/>
        </w:rPr>
        <w:t>Clinical</w:t>
      </w:r>
      <w:r w:rsidR="005B3BB0" w:rsidRPr="00EC208F">
        <w:rPr>
          <w:color w:val="000000" w:themeColor="text1"/>
          <w:sz w:val="24"/>
          <w:szCs w:val="24"/>
        </w:rPr>
        <w:t>ly</w:t>
      </w:r>
      <w:r w:rsidRPr="00EC208F">
        <w:rPr>
          <w:color w:val="000000" w:themeColor="text1"/>
          <w:sz w:val="24"/>
          <w:szCs w:val="24"/>
        </w:rPr>
        <w:t xml:space="preserve"> oral health status was </w:t>
      </w:r>
      <w:r w:rsidR="005B3BB0" w:rsidRPr="00EC208F">
        <w:rPr>
          <w:color w:val="000000" w:themeColor="text1"/>
          <w:sz w:val="24"/>
          <w:szCs w:val="24"/>
        </w:rPr>
        <w:t>assessed</w:t>
      </w:r>
      <w:r w:rsidRPr="00EC208F">
        <w:rPr>
          <w:color w:val="000000" w:themeColor="text1"/>
          <w:sz w:val="24"/>
          <w:szCs w:val="24"/>
        </w:rPr>
        <w:t xml:space="preserve"> with a mouth mirror and a periodontal probe under clinical lighting, prior to and after drying the tooth surface with compressed air according to the World Health Organization caries diagnostic criter</w:t>
      </w:r>
      <w:r w:rsidR="00BE55AA" w:rsidRPr="00EC208F">
        <w:rPr>
          <w:color w:val="000000" w:themeColor="text1"/>
          <w:sz w:val="24"/>
          <w:szCs w:val="24"/>
        </w:rPr>
        <w:t>ia for epidemiological studies.</w:t>
      </w:r>
      <w:r w:rsidR="00BE55AA" w:rsidRPr="00EC208F">
        <w:rPr>
          <w:color w:val="000000" w:themeColor="text1"/>
          <w:sz w:val="24"/>
          <w:szCs w:val="24"/>
          <w:vertAlign w:val="superscript"/>
        </w:rPr>
        <w:t>12</w:t>
      </w:r>
      <w:r w:rsidRPr="00EC208F">
        <w:rPr>
          <w:color w:val="000000" w:themeColor="text1"/>
          <w:sz w:val="24"/>
          <w:szCs w:val="24"/>
        </w:rPr>
        <w:t xml:space="preserve"> A surface was marked as ‘decayed’ when any of the following was observed: unmistakable cavitation on the tooth surface; a detectable softened floor or wall, or remaining, carious roots; and a filled surface with signs of caries. Caries occurrence was expressed as the decayed, missing (due to caries), and filled permanent surfaces (DMFS).</w:t>
      </w:r>
      <w:r w:rsidR="00BE55AA" w:rsidRPr="00EC208F">
        <w:rPr>
          <w:color w:val="000000" w:themeColor="text1"/>
          <w:sz w:val="24"/>
          <w:szCs w:val="24"/>
          <w:vertAlign w:val="superscript"/>
        </w:rPr>
        <w:t>13</w:t>
      </w:r>
    </w:p>
    <w:p w:rsidR="00E3514D" w:rsidRPr="00EC208F" w:rsidRDefault="005B3BB0" w:rsidP="003A7AC7">
      <w:pPr>
        <w:tabs>
          <w:tab w:val="left" w:pos="630"/>
        </w:tabs>
        <w:spacing w:line="360" w:lineRule="auto"/>
        <w:rPr>
          <w:color w:val="000000" w:themeColor="text1"/>
          <w:sz w:val="24"/>
          <w:szCs w:val="24"/>
          <w:lang w:val="en-IN"/>
        </w:rPr>
      </w:pPr>
      <w:r w:rsidRPr="00EC208F">
        <w:rPr>
          <w:color w:val="000000" w:themeColor="text1"/>
          <w:sz w:val="24"/>
          <w:szCs w:val="24"/>
        </w:rPr>
        <w:tab/>
      </w:r>
      <w:r w:rsidR="00E3514D" w:rsidRPr="00EC208F">
        <w:rPr>
          <w:color w:val="000000" w:themeColor="text1"/>
          <w:sz w:val="24"/>
          <w:szCs w:val="24"/>
        </w:rPr>
        <w:t>The health status of the gingiva was determined using Gingival Index (GI) according to Loe and Silness.</w:t>
      </w:r>
      <w:r w:rsidR="00BE55AA" w:rsidRPr="00EC208F">
        <w:rPr>
          <w:color w:val="000000" w:themeColor="text1"/>
          <w:sz w:val="24"/>
          <w:szCs w:val="24"/>
          <w:vertAlign w:val="superscript"/>
          <w:lang w:val="en-IN"/>
        </w:rPr>
        <w:t xml:space="preserve">14 </w:t>
      </w:r>
      <w:r w:rsidR="00E3514D" w:rsidRPr="00EC208F">
        <w:rPr>
          <w:color w:val="000000" w:themeColor="text1"/>
          <w:sz w:val="24"/>
          <w:szCs w:val="24"/>
          <w:lang w:val="en-IN"/>
        </w:rPr>
        <w:t xml:space="preserve">The tissue surrounding each tooth was divided into four gingival scoring units and were accordingly probed -distofacial papilla, facial margin, mesiofacial papilla and entire lingual gingival margin. Each of the four gingival areas is assessed according to the following criteria- 0- Normal gingiva, 1- Mild inflammation, slight change in colour, slight edema, no bleeding on probing, 2- Moderate inflammation, redness, edema, glazing, bleeding </w:t>
      </w:r>
      <w:r w:rsidR="00E3514D" w:rsidRPr="00EC208F">
        <w:rPr>
          <w:color w:val="000000" w:themeColor="text1"/>
          <w:sz w:val="24"/>
          <w:szCs w:val="24"/>
          <w:lang w:val="en-IN"/>
        </w:rPr>
        <w:lastRenderedPageBreak/>
        <w:t>on probing, 3- Severe inflammation, marked redness and edema, ulcerations, tendency to spontaneous bleeding.</w:t>
      </w:r>
    </w:p>
    <w:p w:rsidR="00E3514D" w:rsidRPr="00EC208F" w:rsidRDefault="00E3514D" w:rsidP="00307C48">
      <w:pPr>
        <w:pStyle w:val="ListParagraph"/>
        <w:tabs>
          <w:tab w:val="left" w:pos="630"/>
        </w:tabs>
        <w:spacing w:after="0" w:line="360" w:lineRule="auto"/>
        <w:ind w:left="0"/>
        <w:jc w:val="both"/>
        <w:rPr>
          <w:rFonts w:ascii="Times New Roman" w:hAnsi="Times New Roman" w:cs="Times New Roman"/>
          <w:color w:val="000000" w:themeColor="text1"/>
          <w:sz w:val="24"/>
          <w:szCs w:val="24"/>
          <w:lang w:val="en-IN"/>
        </w:rPr>
      </w:pPr>
      <w:r w:rsidRPr="00EC208F">
        <w:rPr>
          <w:rFonts w:ascii="Times New Roman" w:hAnsi="Times New Roman" w:cs="Times New Roman"/>
          <w:color w:val="000000" w:themeColor="text1"/>
          <w:sz w:val="24"/>
          <w:szCs w:val="24"/>
        </w:rPr>
        <w:tab/>
        <w:t xml:space="preserve">Also, patient’s demographic details, treatment beginning date, treatment period, and type of malocclusion were determined and groups were separated by these determinations. </w:t>
      </w:r>
      <w:r w:rsidRPr="00EC208F">
        <w:rPr>
          <w:rFonts w:ascii="Times New Roman" w:hAnsi="Times New Roman" w:cs="Times New Roman"/>
          <w:color w:val="000000" w:themeColor="text1"/>
          <w:sz w:val="24"/>
          <w:szCs w:val="24"/>
          <w:lang w:val="en-IN"/>
        </w:rPr>
        <w:t>Malocclusion was assessed according to Angle’s classification of malocclusion,</w:t>
      </w:r>
      <w:r w:rsidRPr="00EC208F">
        <w:rPr>
          <w:rFonts w:ascii="Times New Roman" w:hAnsi="Times New Roman" w:cs="Times New Roman"/>
          <w:color w:val="000000" w:themeColor="text1"/>
          <w:sz w:val="24"/>
          <w:szCs w:val="24"/>
        </w:rPr>
        <w:t xml:space="preserve"> </w:t>
      </w:r>
      <w:r w:rsidRPr="00EC208F">
        <w:rPr>
          <w:rFonts w:ascii="Times New Roman" w:hAnsi="Times New Roman" w:cs="Times New Roman"/>
          <w:color w:val="000000" w:themeColor="text1"/>
          <w:sz w:val="24"/>
          <w:szCs w:val="24"/>
          <w:lang w:val="en-IN"/>
        </w:rPr>
        <w:t>based on the relation of lower first permanent molar to upper first permanent molar.</w:t>
      </w:r>
      <w:r w:rsidR="00BE55AA" w:rsidRPr="00EC208F">
        <w:rPr>
          <w:rFonts w:ascii="Times New Roman" w:hAnsi="Times New Roman" w:cs="Times New Roman"/>
          <w:color w:val="000000" w:themeColor="text1"/>
          <w:sz w:val="24"/>
          <w:szCs w:val="24"/>
          <w:vertAlign w:val="superscript"/>
          <w:lang w:val="en-IN"/>
        </w:rPr>
        <w:t>15</w:t>
      </w:r>
      <w:r w:rsidR="00307C48" w:rsidRPr="00EC208F">
        <w:rPr>
          <w:rFonts w:ascii="Times New Roman" w:hAnsi="Times New Roman" w:cs="Times New Roman"/>
          <w:color w:val="000000" w:themeColor="text1"/>
          <w:sz w:val="24"/>
          <w:szCs w:val="24"/>
          <w:lang w:val="en-IN"/>
        </w:rPr>
        <w:t xml:space="preserve"> </w:t>
      </w:r>
      <w:r w:rsidRPr="00EC208F">
        <w:rPr>
          <w:rFonts w:ascii="Times New Roman" w:hAnsi="Times New Roman" w:cs="Times New Roman"/>
          <w:color w:val="000000" w:themeColor="text1"/>
          <w:sz w:val="24"/>
          <w:szCs w:val="24"/>
        </w:rPr>
        <w:t>The collected data was presented according to the type of malocclusion in to Angle Class I malocclusion, Angle Class II malocclusion and Angle Class III malocclusion. And according to the duration of treatment of the patients in to Group A: 0 - 90 days of treatment, Group B: 91-180 days of treatment, Group C: 181-270 days of treatment and Group D: more than 270 days of treatment.</w:t>
      </w:r>
      <w:r w:rsidR="00307C48" w:rsidRPr="00EC208F">
        <w:rPr>
          <w:rFonts w:ascii="Times New Roman" w:hAnsi="Times New Roman" w:cs="Times New Roman"/>
          <w:color w:val="000000" w:themeColor="text1"/>
          <w:sz w:val="24"/>
          <w:szCs w:val="24"/>
        </w:rPr>
        <w:t xml:space="preserve"> </w:t>
      </w:r>
      <w:r w:rsidRPr="00EC208F">
        <w:rPr>
          <w:rFonts w:ascii="Times New Roman" w:hAnsi="Times New Roman" w:cs="Times New Roman"/>
          <w:color w:val="000000" w:themeColor="text1"/>
          <w:sz w:val="24"/>
          <w:szCs w:val="24"/>
        </w:rPr>
        <w:t xml:space="preserve">Statistical analysis was done using computer with aid of Statistical Package for Social Science 17.0 (SPSS Inc, Chicago, IL, USA). Data comparison was done by applying One Way ANOVA test. A </w:t>
      </w:r>
      <w:r w:rsidRPr="00EC208F">
        <w:rPr>
          <w:rFonts w:ascii="Times New Roman" w:hAnsi="Times New Roman" w:cs="Times New Roman"/>
          <w:i/>
          <w:iCs/>
          <w:color w:val="000000" w:themeColor="text1"/>
          <w:sz w:val="24"/>
          <w:szCs w:val="24"/>
        </w:rPr>
        <w:t>p</w:t>
      </w:r>
      <w:r w:rsidRPr="00EC208F">
        <w:rPr>
          <w:rFonts w:ascii="Times New Roman" w:hAnsi="Times New Roman" w:cs="Times New Roman"/>
          <w:color w:val="000000" w:themeColor="text1"/>
          <w:sz w:val="24"/>
          <w:szCs w:val="24"/>
        </w:rPr>
        <w:t xml:space="preserve"> value &lt; 0.05 was considered statistically significant.</w:t>
      </w:r>
    </w:p>
    <w:p w:rsidR="00E3514D" w:rsidRPr="00EC208F" w:rsidRDefault="00E3514D" w:rsidP="003A7AC7">
      <w:pPr>
        <w:spacing w:line="360" w:lineRule="auto"/>
        <w:rPr>
          <w:color w:val="000000" w:themeColor="text1"/>
          <w:sz w:val="24"/>
          <w:szCs w:val="24"/>
        </w:rPr>
      </w:pPr>
    </w:p>
    <w:p w:rsidR="00E3514D" w:rsidRPr="00EC208F" w:rsidRDefault="009406AB" w:rsidP="003A7AC7">
      <w:pPr>
        <w:spacing w:line="360" w:lineRule="auto"/>
        <w:rPr>
          <w:b/>
          <w:color w:val="000000" w:themeColor="text1"/>
          <w:sz w:val="24"/>
          <w:szCs w:val="24"/>
        </w:rPr>
      </w:pPr>
      <w:r w:rsidRPr="00EC208F">
        <w:rPr>
          <w:b/>
          <w:color w:val="000000" w:themeColor="text1"/>
          <w:sz w:val="24"/>
          <w:szCs w:val="24"/>
        </w:rPr>
        <w:t>Results:</w:t>
      </w:r>
    </w:p>
    <w:p w:rsidR="00E3514D" w:rsidRPr="00EC208F" w:rsidRDefault="00E3514D" w:rsidP="00170BDD">
      <w:pPr>
        <w:tabs>
          <w:tab w:val="left" w:pos="810"/>
        </w:tabs>
        <w:spacing w:line="360" w:lineRule="auto"/>
        <w:rPr>
          <w:color w:val="000000" w:themeColor="text1"/>
          <w:sz w:val="24"/>
          <w:szCs w:val="24"/>
        </w:rPr>
      </w:pPr>
      <w:r w:rsidRPr="00EC208F">
        <w:rPr>
          <w:color w:val="000000" w:themeColor="text1"/>
          <w:sz w:val="24"/>
          <w:szCs w:val="24"/>
        </w:rPr>
        <w:tab/>
        <w:t>The kappa coefficient value for intra-examiner reliability was 0.86. This value reflected high degree of conformity in observations.</w:t>
      </w:r>
      <w:r w:rsidR="00D65484" w:rsidRPr="00EC208F">
        <w:rPr>
          <w:color w:val="000000" w:themeColor="text1"/>
          <w:sz w:val="24"/>
          <w:szCs w:val="24"/>
        </w:rPr>
        <w:t xml:space="preserve"> </w:t>
      </w:r>
      <w:r w:rsidRPr="00EC208F">
        <w:rPr>
          <w:color w:val="000000" w:themeColor="text1"/>
          <w:sz w:val="24"/>
          <w:szCs w:val="24"/>
        </w:rPr>
        <w:t>Out of 253 subjects, 78 (30.83%) subjects were males and 175 (</w:t>
      </w:r>
      <w:r w:rsidR="00D65484" w:rsidRPr="00EC208F">
        <w:rPr>
          <w:color w:val="000000" w:themeColor="text1"/>
          <w:sz w:val="24"/>
          <w:szCs w:val="24"/>
        </w:rPr>
        <w:t>69.17%) subjects were females (T</w:t>
      </w:r>
      <w:r w:rsidRPr="00EC208F">
        <w:rPr>
          <w:color w:val="000000" w:themeColor="text1"/>
          <w:sz w:val="24"/>
          <w:szCs w:val="24"/>
        </w:rPr>
        <w:t>able 1). 125 (49.41%) subjects had Class I malocclusion; 97 (38.34%) subjects had Class II malocclusion and 31 (12.25%) subjects had Class III malocclusion (Table 2).</w:t>
      </w:r>
      <w:r w:rsidR="00E41890" w:rsidRPr="00EC208F">
        <w:rPr>
          <w:color w:val="000000" w:themeColor="text1"/>
          <w:sz w:val="24"/>
          <w:szCs w:val="24"/>
        </w:rPr>
        <w:t xml:space="preserve"> </w:t>
      </w:r>
      <w:r w:rsidRPr="00EC208F">
        <w:rPr>
          <w:color w:val="000000" w:themeColor="text1"/>
          <w:sz w:val="24"/>
          <w:szCs w:val="24"/>
        </w:rPr>
        <w:t>61 (24.11%) subjects were in group A (duration of treatment 0-90 days), 61 (24.11%) subjects in Group B (duration of treatment 91-180 days), 60 (23.72%) subjects in Group C (duration of treatment 181-270 days) and 71 (28.06%) subjects in Group D (duration of treatment &gt; 270 days) (Table 3).</w:t>
      </w:r>
      <w:r w:rsidR="00170BDD" w:rsidRPr="00EC208F">
        <w:rPr>
          <w:color w:val="000000" w:themeColor="text1"/>
          <w:sz w:val="24"/>
          <w:szCs w:val="24"/>
        </w:rPr>
        <w:t xml:space="preserve"> </w:t>
      </w:r>
      <w:r w:rsidRPr="00EC208F">
        <w:rPr>
          <w:bCs/>
          <w:color w:val="000000" w:themeColor="text1"/>
          <w:sz w:val="24"/>
          <w:szCs w:val="24"/>
        </w:rPr>
        <w:t>The results of this study revealed that according to malocclusion</w:t>
      </w:r>
      <w:r w:rsidRPr="00EC208F">
        <w:rPr>
          <w:color w:val="000000" w:themeColor="text1"/>
          <w:sz w:val="24"/>
          <w:szCs w:val="24"/>
        </w:rPr>
        <w:t xml:space="preserve"> DMFS score was highest in subjects with Class I (4.41 ± 2.25) malocclusion followed by subjects with Class III (3.24 ± 2.34) and Class II (3.71 ± 2.47) malocclusion. This was found to be statistically significant (p&lt;0.05). GI score was highest in subjects with Class I (1.41 ± 0.37) malocclusion followed by subjects with Class II (1.25 ± 0.34) and Class III (1.15 ± 0.33) malocclusion. This was found to be statistical</w:t>
      </w:r>
      <w:r w:rsidR="003C6971" w:rsidRPr="00EC208F">
        <w:rPr>
          <w:color w:val="000000" w:themeColor="text1"/>
          <w:sz w:val="24"/>
          <w:szCs w:val="24"/>
        </w:rPr>
        <w:t>ly highly significant (p&lt;0.001) (Table</w:t>
      </w:r>
      <w:r w:rsidR="003131EB" w:rsidRPr="00EC208F">
        <w:rPr>
          <w:color w:val="000000" w:themeColor="text1"/>
          <w:sz w:val="24"/>
          <w:szCs w:val="24"/>
        </w:rPr>
        <w:t xml:space="preserve"> 4)</w:t>
      </w:r>
      <w:r w:rsidR="003C6971" w:rsidRPr="00EC208F">
        <w:rPr>
          <w:color w:val="000000" w:themeColor="text1"/>
          <w:sz w:val="24"/>
          <w:szCs w:val="24"/>
        </w:rPr>
        <w:t>.</w:t>
      </w:r>
      <w:r w:rsidR="00170BDD" w:rsidRPr="00EC208F">
        <w:rPr>
          <w:color w:val="000000" w:themeColor="text1"/>
          <w:sz w:val="24"/>
          <w:szCs w:val="24"/>
        </w:rPr>
        <w:t xml:space="preserve"> </w:t>
      </w:r>
      <w:r w:rsidRPr="00EC208F">
        <w:rPr>
          <w:bCs/>
          <w:color w:val="000000" w:themeColor="text1"/>
          <w:sz w:val="24"/>
          <w:szCs w:val="24"/>
        </w:rPr>
        <w:t xml:space="preserve">According to duration of treatment </w:t>
      </w:r>
      <w:r w:rsidRPr="00EC208F">
        <w:rPr>
          <w:color w:val="000000" w:themeColor="text1"/>
          <w:sz w:val="24"/>
          <w:szCs w:val="24"/>
        </w:rPr>
        <w:t xml:space="preserve">DMFS score was highest in Group D subjects (4.94 ± 2.48) followed by Group C subjects (4.13 ± </w:t>
      </w:r>
      <w:r w:rsidRPr="00EC208F">
        <w:rPr>
          <w:color w:val="000000" w:themeColor="text1"/>
          <w:sz w:val="24"/>
          <w:szCs w:val="24"/>
        </w:rPr>
        <w:lastRenderedPageBreak/>
        <w:t xml:space="preserve">2.32), Group B subjects (3.66 ± 2.45) and Group A subjects (2.59 ± 1.38). It was found to be increasing with increase in duration of treatment. This increase was found to be statistically highly significant (p&lt;0.001). GI score was highest in Group D subjects (1.68 ± 0.34) followed by Group C subjects (1.38 ± 0.28), Group B subjects (1.14 ± 0.18) and Group A subjects (1.02 ± 0.19). It was </w:t>
      </w:r>
      <w:r w:rsidR="00D23C71" w:rsidRPr="00EC208F">
        <w:rPr>
          <w:color w:val="000000" w:themeColor="text1"/>
          <w:sz w:val="24"/>
          <w:szCs w:val="24"/>
        </w:rPr>
        <w:t xml:space="preserve">also </w:t>
      </w:r>
      <w:r w:rsidRPr="00EC208F">
        <w:rPr>
          <w:color w:val="000000" w:themeColor="text1"/>
          <w:sz w:val="24"/>
          <w:szCs w:val="24"/>
        </w:rPr>
        <w:t>found to be increasing with increase in duration of treatment. This increase was found to be statistical</w:t>
      </w:r>
      <w:r w:rsidR="00CE033F" w:rsidRPr="00EC208F">
        <w:rPr>
          <w:color w:val="000000" w:themeColor="text1"/>
          <w:sz w:val="24"/>
          <w:szCs w:val="24"/>
        </w:rPr>
        <w:t xml:space="preserve">ly highly significant (p&lt;0.001) </w:t>
      </w:r>
      <w:r w:rsidR="003131EB" w:rsidRPr="00EC208F">
        <w:rPr>
          <w:color w:val="000000" w:themeColor="text1"/>
          <w:sz w:val="24"/>
          <w:szCs w:val="24"/>
        </w:rPr>
        <w:t>(Table 5)</w:t>
      </w:r>
      <w:r w:rsidR="00CE033F" w:rsidRPr="00EC208F">
        <w:rPr>
          <w:color w:val="000000" w:themeColor="text1"/>
          <w:sz w:val="24"/>
          <w:szCs w:val="24"/>
        </w:rPr>
        <w:t>.</w:t>
      </w:r>
    </w:p>
    <w:p w:rsidR="005B3BB0" w:rsidRPr="00EC208F" w:rsidRDefault="009406AB" w:rsidP="003A7AC7">
      <w:pPr>
        <w:tabs>
          <w:tab w:val="left" w:pos="630"/>
        </w:tabs>
        <w:spacing w:line="360" w:lineRule="auto"/>
        <w:rPr>
          <w:b/>
          <w:bCs/>
          <w:color w:val="000000" w:themeColor="text1"/>
          <w:sz w:val="24"/>
          <w:szCs w:val="24"/>
          <w:lang w:val="en-IN"/>
        </w:rPr>
      </w:pPr>
      <w:r w:rsidRPr="00EC208F">
        <w:rPr>
          <w:b/>
          <w:bCs/>
          <w:color w:val="000000" w:themeColor="text1"/>
          <w:sz w:val="24"/>
          <w:szCs w:val="24"/>
          <w:lang w:val="en-IN"/>
        </w:rPr>
        <w:t>Discussion:</w:t>
      </w:r>
    </w:p>
    <w:p w:rsidR="005B3BB0" w:rsidRPr="00EC208F" w:rsidRDefault="005B3BB0" w:rsidP="00170BDD">
      <w:pPr>
        <w:widowControl/>
        <w:autoSpaceDE w:val="0"/>
        <w:autoSpaceDN w:val="0"/>
        <w:adjustRightInd w:val="0"/>
        <w:spacing w:line="360" w:lineRule="auto"/>
        <w:ind w:firstLine="420"/>
        <w:rPr>
          <w:color w:val="000000" w:themeColor="text1"/>
          <w:kern w:val="0"/>
          <w:sz w:val="24"/>
          <w:szCs w:val="24"/>
          <w:lang w:eastAsia="en-US" w:bidi="hi-IN"/>
        </w:rPr>
      </w:pPr>
      <w:r w:rsidRPr="00EC208F">
        <w:rPr>
          <w:color w:val="000000" w:themeColor="text1"/>
          <w:kern w:val="0"/>
          <w:sz w:val="24"/>
          <w:szCs w:val="24"/>
          <w:lang w:eastAsia="en-US" w:bidi="hi-IN"/>
        </w:rPr>
        <w:t>In this study, the most important finding was a negative effect of orthodontic treatment on the oral health status of these patients. Descriptions of the effects of orthodontic treatment on the oral status in orthodontic patient populations during the treatment are limited in the literature. A few studies were carried out by clinical examinations with different methods such as fluorescence lights, sca</w:t>
      </w:r>
      <w:r w:rsidR="00BE55AA" w:rsidRPr="00EC208F">
        <w:rPr>
          <w:color w:val="000000" w:themeColor="text1"/>
          <w:kern w:val="0"/>
          <w:sz w:val="24"/>
          <w:szCs w:val="24"/>
          <w:lang w:eastAsia="en-US" w:bidi="hi-IN"/>
        </w:rPr>
        <w:t xml:space="preserve">nning electron microscopy (SEM) </w:t>
      </w:r>
      <w:r w:rsidRPr="00EC208F">
        <w:rPr>
          <w:color w:val="000000" w:themeColor="text1"/>
          <w:kern w:val="0"/>
          <w:sz w:val="24"/>
          <w:szCs w:val="24"/>
          <w:lang w:eastAsia="en-US" w:bidi="hi-IN"/>
        </w:rPr>
        <w:t>and a cariogram study.</w:t>
      </w:r>
      <w:r w:rsidR="00BE55AA" w:rsidRPr="00EC208F">
        <w:rPr>
          <w:color w:val="000000" w:themeColor="text1"/>
          <w:kern w:val="0"/>
          <w:sz w:val="24"/>
          <w:szCs w:val="24"/>
          <w:vertAlign w:val="superscript"/>
          <w:lang w:eastAsia="en-US" w:bidi="hi-IN"/>
        </w:rPr>
        <w:t>16,17,18,19</w:t>
      </w:r>
      <w:r w:rsidRPr="00EC208F">
        <w:rPr>
          <w:color w:val="000000" w:themeColor="text1"/>
          <w:kern w:val="0"/>
          <w:sz w:val="24"/>
          <w:szCs w:val="24"/>
          <w:lang w:eastAsia="en-US" w:bidi="hi-IN"/>
        </w:rPr>
        <w:t xml:space="preserve"> </w:t>
      </w:r>
      <w:r w:rsidR="00170BDD" w:rsidRPr="00EC208F">
        <w:rPr>
          <w:color w:val="000000" w:themeColor="text1"/>
          <w:kern w:val="0"/>
          <w:sz w:val="24"/>
          <w:szCs w:val="24"/>
          <w:lang w:eastAsia="en-US" w:bidi="hi-IN"/>
        </w:rPr>
        <w:t xml:space="preserve"> </w:t>
      </w:r>
      <w:r w:rsidRPr="00EC208F">
        <w:rPr>
          <w:color w:val="000000" w:themeColor="text1"/>
          <w:kern w:val="0"/>
          <w:sz w:val="24"/>
          <w:szCs w:val="24"/>
          <w:lang w:eastAsia="en-US" w:bidi="hi-IN"/>
        </w:rPr>
        <w:t>Some authors</w:t>
      </w:r>
      <w:r w:rsidR="00BE55AA" w:rsidRPr="00EC208F">
        <w:rPr>
          <w:color w:val="000000" w:themeColor="text1"/>
          <w:kern w:val="0"/>
          <w:sz w:val="24"/>
          <w:szCs w:val="24"/>
          <w:lang w:eastAsia="en-US" w:bidi="hi-IN"/>
        </w:rPr>
        <w:t xml:space="preserve"> </w:t>
      </w:r>
      <w:r w:rsidRPr="00EC208F">
        <w:rPr>
          <w:color w:val="000000" w:themeColor="text1"/>
          <w:kern w:val="0"/>
          <w:sz w:val="24"/>
          <w:szCs w:val="24"/>
          <w:lang w:eastAsia="en-US" w:bidi="hi-IN"/>
        </w:rPr>
        <w:t>suggested that orthodontic treatment with a fixed appliance may be compatible with an increased incidence of caries, and thus orthodontic treatment itself has always been criticized.</w:t>
      </w:r>
      <w:r w:rsidR="00BE55AA" w:rsidRPr="00EC208F">
        <w:rPr>
          <w:color w:val="000000" w:themeColor="text1"/>
          <w:kern w:val="0"/>
          <w:sz w:val="24"/>
          <w:szCs w:val="24"/>
          <w:vertAlign w:val="superscript"/>
          <w:lang w:eastAsia="en-US" w:bidi="hi-IN"/>
        </w:rPr>
        <w:t>16,20</w:t>
      </w:r>
      <w:r w:rsidRPr="00EC208F">
        <w:rPr>
          <w:color w:val="000000" w:themeColor="text1"/>
          <w:kern w:val="0"/>
          <w:sz w:val="24"/>
          <w:szCs w:val="24"/>
          <w:lang w:eastAsia="en-US" w:bidi="hi-IN"/>
        </w:rPr>
        <w:t xml:space="preserve"> </w:t>
      </w:r>
      <w:r w:rsidR="00170BDD" w:rsidRPr="00EC208F">
        <w:rPr>
          <w:color w:val="000000" w:themeColor="text1"/>
          <w:kern w:val="0"/>
          <w:sz w:val="24"/>
          <w:szCs w:val="24"/>
          <w:lang w:eastAsia="en-US" w:bidi="hi-IN"/>
        </w:rPr>
        <w:t>H</w:t>
      </w:r>
      <w:r w:rsidRPr="00EC208F">
        <w:rPr>
          <w:color w:val="000000" w:themeColor="text1"/>
          <w:kern w:val="0"/>
          <w:sz w:val="24"/>
          <w:szCs w:val="24"/>
          <w:lang w:eastAsia="en-US" w:bidi="hi-IN"/>
        </w:rPr>
        <w:t xml:space="preserve">owever, </w:t>
      </w:r>
      <w:r w:rsidR="00170BDD" w:rsidRPr="00EC208F">
        <w:rPr>
          <w:color w:val="000000" w:themeColor="text1"/>
          <w:kern w:val="0"/>
          <w:sz w:val="24"/>
          <w:szCs w:val="24"/>
          <w:lang w:eastAsia="en-US" w:bidi="hi-IN"/>
        </w:rPr>
        <w:t xml:space="preserve">some authors, </w:t>
      </w:r>
      <w:r w:rsidRPr="00EC208F">
        <w:rPr>
          <w:color w:val="000000" w:themeColor="text1"/>
          <w:kern w:val="0"/>
          <w:sz w:val="24"/>
          <w:szCs w:val="24"/>
          <w:lang w:eastAsia="en-US" w:bidi="hi-IN"/>
        </w:rPr>
        <w:t>found no relationship between fixed orthodontic treatment and caries experience.</w:t>
      </w:r>
      <w:r w:rsidR="00BE55AA" w:rsidRPr="00EC208F">
        <w:rPr>
          <w:color w:val="000000" w:themeColor="text1"/>
          <w:kern w:val="0"/>
          <w:sz w:val="24"/>
          <w:szCs w:val="24"/>
          <w:vertAlign w:val="superscript"/>
          <w:lang w:eastAsia="en-US" w:bidi="hi-IN"/>
        </w:rPr>
        <w:t>18,21,22</w:t>
      </w:r>
      <w:r w:rsidRPr="00EC208F">
        <w:rPr>
          <w:color w:val="000000" w:themeColor="text1"/>
          <w:kern w:val="0"/>
          <w:sz w:val="24"/>
          <w:szCs w:val="24"/>
          <w:lang w:eastAsia="en-US" w:bidi="hi-IN"/>
        </w:rPr>
        <w:t xml:space="preserve"> The outcome of the present study showed that orthodontic treatment with a fixed appliance increased the risk of oral hygiene status. This finding is in agreement with the results of several studies.</w:t>
      </w:r>
      <w:r w:rsidR="00BE55AA" w:rsidRPr="00EC208F">
        <w:rPr>
          <w:color w:val="000000" w:themeColor="text1"/>
          <w:kern w:val="0"/>
          <w:sz w:val="24"/>
          <w:szCs w:val="24"/>
          <w:vertAlign w:val="superscript"/>
          <w:lang w:eastAsia="en-US" w:bidi="hi-IN"/>
        </w:rPr>
        <w:t>11,16,23</w:t>
      </w:r>
    </w:p>
    <w:p w:rsidR="003A7AC7" w:rsidRPr="00EC208F" w:rsidRDefault="003A7AC7" w:rsidP="003A7AC7">
      <w:pPr>
        <w:spacing w:line="360" w:lineRule="auto"/>
        <w:ind w:firstLine="720"/>
        <w:rPr>
          <w:color w:val="000000" w:themeColor="text1"/>
          <w:sz w:val="24"/>
          <w:szCs w:val="24"/>
        </w:rPr>
      </w:pPr>
      <w:r w:rsidRPr="00EC208F">
        <w:rPr>
          <w:color w:val="000000" w:themeColor="text1"/>
          <w:sz w:val="24"/>
          <w:szCs w:val="24"/>
        </w:rPr>
        <w:t>In the present study, DMFS score and GI score was significantly highest in Class I malocclusion when compared to Class II and Class III malocclusion. These findings are consonant with study conducted by Shrestha S. et al and Alstad S et al respectively.</w:t>
      </w:r>
      <w:r w:rsidR="00BE55AA" w:rsidRPr="00EC208F">
        <w:rPr>
          <w:color w:val="000000" w:themeColor="text1"/>
          <w:sz w:val="24"/>
          <w:szCs w:val="24"/>
          <w:vertAlign w:val="superscript"/>
        </w:rPr>
        <w:t>24,25</w:t>
      </w:r>
      <w:r w:rsidRPr="00EC208F">
        <w:rPr>
          <w:color w:val="000000" w:themeColor="text1"/>
          <w:sz w:val="24"/>
          <w:szCs w:val="24"/>
          <w:vertAlign w:val="superscript"/>
        </w:rPr>
        <w:t xml:space="preserve"> </w:t>
      </w:r>
      <w:r w:rsidRPr="00EC208F">
        <w:rPr>
          <w:color w:val="000000" w:themeColor="text1"/>
          <w:sz w:val="24"/>
          <w:szCs w:val="24"/>
        </w:rPr>
        <w:t>Alstad S et al assessed the gingival status in subjects with Angle’s Class I and Class II malocclusion by means of bleeding point index (BPI).</w:t>
      </w:r>
      <w:r w:rsidR="00BE55AA" w:rsidRPr="00EC208F">
        <w:rPr>
          <w:color w:val="000000" w:themeColor="text1"/>
          <w:sz w:val="24"/>
          <w:szCs w:val="24"/>
          <w:vertAlign w:val="superscript"/>
        </w:rPr>
        <w:t>24</w:t>
      </w:r>
      <w:r w:rsidRPr="00EC208F">
        <w:rPr>
          <w:color w:val="000000" w:themeColor="text1"/>
          <w:sz w:val="24"/>
          <w:szCs w:val="24"/>
        </w:rPr>
        <w:t xml:space="preserve"> It was found to be increasing during the course of treatment. No comparison was done between the types of malocclusion. Reason for occurrence of high DMFS and GI score can be that, in Class I malocclusion, the occurrence of crowding is more prevalent than other types.</w:t>
      </w:r>
      <w:r w:rsidR="00BE55AA" w:rsidRPr="00EC208F">
        <w:rPr>
          <w:color w:val="000000" w:themeColor="text1"/>
          <w:sz w:val="24"/>
          <w:szCs w:val="24"/>
          <w:vertAlign w:val="superscript"/>
        </w:rPr>
        <w:t>26</w:t>
      </w:r>
      <w:r w:rsidRPr="00EC208F">
        <w:rPr>
          <w:color w:val="000000" w:themeColor="text1"/>
          <w:sz w:val="24"/>
          <w:szCs w:val="24"/>
        </w:rPr>
        <w:t xml:space="preserve"> Therefore, in Class I malocclusion, probably due to greater occurrence of crowding and other factors, dental caries gingival inflammation was more apparent than compared with other type of malocclusion. El- Mangoury NH. et al suggested that crowding is the predisposing factor for initiation and progression of gingival and periodontal pathosis resulting in difficulty in oral hygiene maintenance and creates </w:t>
      </w:r>
      <w:r w:rsidRPr="00EC208F">
        <w:rPr>
          <w:color w:val="000000" w:themeColor="text1"/>
          <w:sz w:val="24"/>
          <w:szCs w:val="24"/>
        </w:rPr>
        <w:lastRenderedPageBreak/>
        <w:t>improper proximal contacts.</w:t>
      </w:r>
      <w:r w:rsidRPr="00EC208F">
        <w:rPr>
          <w:color w:val="000000" w:themeColor="text1"/>
          <w:sz w:val="24"/>
          <w:szCs w:val="24"/>
          <w:vertAlign w:val="superscript"/>
        </w:rPr>
        <w:t xml:space="preserve"> </w:t>
      </w:r>
      <w:r w:rsidRPr="00EC208F">
        <w:rPr>
          <w:color w:val="000000" w:themeColor="text1"/>
          <w:sz w:val="24"/>
          <w:szCs w:val="24"/>
        </w:rPr>
        <w:t>Difficulty in maintaining oral hygiene can result in a greater accumulation of the dental plaque which is considered a primary etiologic agent in dental caries and inflammatory gingival disease. Improper proximal contact leads to narrowing of embrasures and disruption of disease susceptible ‘Col’.</w:t>
      </w:r>
      <w:r w:rsidR="00BE55AA" w:rsidRPr="00EC208F">
        <w:rPr>
          <w:color w:val="000000" w:themeColor="text1"/>
          <w:sz w:val="24"/>
          <w:szCs w:val="24"/>
          <w:vertAlign w:val="superscript"/>
        </w:rPr>
        <w:t>27</w:t>
      </w:r>
      <w:r w:rsidRPr="00EC208F">
        <w:rPr>
          <w:color w:val="000000" w:themeColor="text1"/>
          <w:sz w:val="24"/>
          <w:szCs w:val="24"/>
          <w:vertAlign w:val="superscript"/>
        </w:rPr>
        <w:t xml:space="preserve"> </w:t>
      </w:r>
      <w:r w:rsidRPr="00EC208F">
        <w:rPr>
          <w:color w:val="000000" w:themeColor="text1"/>
          <w:sz w:val="24"/>
          <w:szCs w:val="24"/>
        </w:rPr>
        <w:t>Also, Horup N et al has shown significant relation between crowding and gingival inflammation.</w:t>
      </w:r>
      <w:r w:rsidR="00BE55AA" w:rsidRPr="00EC208F">
        <w:rPr>
          <w:color w:val="000000" w:themeColor="text1"/>
          <w:sz w:val="24"/>
          <w:szCs w:val="24"/>
          <w:vertAlign w:val="superscript"/>
        </w:rPr>
        <w:t>28</w:t>
      </w:r>
    </w:p>
    <w:p w:rsidR="003A7AC7" w:rsidRPr="00EC208F" w:rsidRDefault="003A7AC7" w:rsidP="003A7AC7">
      <w:pPr>
        <w:spacing w:line="360" w:lineRule="auto"/>
        <w:ind w:firstLine="720"/>
        <w:rPr>
          <w:color w:val="000000" w:themeColor="text1"/>
          <w:sz w:val="24"/>
          <w:szCs w:val="24"/>
          <w:vertAlign w:val="superscript"/>
        </w:rPr>
      </w:pPr>
      <w:r w:rsidRPr="00EC208F">
        <w:rPr>
          <w:color w:val="000000" w:themeColor="text1"/>
          <w:sz w:val="24"/>
          <w:szCs w:val="24"/>
        </w:rPr>
        <w:t>In the present study, it was found that, as the duration of treatment increases there is simultaneous increase in DMFS and GI score. These findings were in accordance with findings of Pejda S. et al</w:t>
      </w:r>
      <w:r w:rsidR="00985970" w:rsidRPr="00EC208F">
        <w:rPr>
          <w:color w:val="000000" w:themeColor="text1"/>
          <w:sz w:val="24"/>
          <w:szCs w:val="24"/>
        </w:rPr>
        <w:t xml:space="preserve">,  Shrestha S. et al, </w:t>
      </w:r>
      <w:r w:rsidRPr="00EC208F">
        <w:rPr>
          <w:color w:val="000000" w:themeColor="text1"/>
          <w:sz w:val="24"/>
          <w:szCs w:val="24"/>
        </w:rPr>
        <w:t>Zachrisson BU et al, Zachrisson S et al, Ristic M et al, Liu H et al and Karkhanechi M et al.</w:t>
      </w:r>
      <w:r w:rsidRPr="00EC208F">
        <w:rPr>
          <w:color w:val="000000" w:themeColor="text1"/>
          <w:sz w:val="24"/>
          <w:szCs w:val="24"/>
          <w:vertAlign w:val="superscript"/>
        </w:rPr>
        <w:t xml:space="preserve"> </w:t>
      </w:r>
      <w:r w:rsidR="003B6DEB" w:rsidRPr="00EC208F">
        <w:rPr>
          <w:color w:val="000000" w:themeColor="text1"/>
          <w:sz w:val="24"/>
          <w:szCs w:val="24"/>
          <w:vertAlign w:val="superscript"/>
        </w:rPr>
        <w:t>25,29-</w:t>
      </w:r>
      <w:r w:rsidR="00BE55AA" w:rsidRPr="00EC208F">
        <w:rPr>
          <w:color w:val="000000" w:themeColor="text1"/>
          <w:sz w:val="24"/>
          <w:szCs w:val="24"/>
          <w:vertAlign w:val="superscript"/>
        </w:rPr>
        <w:t>34</w:t>
      </w:r>
      <w:r w:rsidRPr="00EC208F">
        <w:rPr>
          <w:color w:val="000000" w:themeColor="text1"/>
          <w:sz w:val="24"/>
          <w:szCs w:val="24"/>
        </w:rPr>
        <w:t xml:space="preserve"> Pejda S. et al examined patients prior to fixed orthodontic appliance placement and twelve weeks after placement of fixed orthodontic appliance and found significant increase in DMFT index.</w:t>
      </w:r>
      <w:r w:rsidR="00BE55AA" w:rsidRPr="00EC208F">
        <w:rPr>
          <w:color w:val="000000" w:themeColor="text1"/>
          <w:sz w:val="24"/>
          <w:szCs w:val="24"/>
          <w:vertAlign w:val="superscript"/>
        </w:rPr>
        <w:t>29</w:t>
      </w:r>
      <w:r w:rsidR="00BE55AA" w:rsidRPr="00EC208F">
        <w:rPr>
          <w:color w:val="000000" w:themeColor="text1"/>
          <w:sz w:val="24"/>
          <w:szCs w:val="24"/>
        </w:rPr>
        <w:t xml:space="preserve"> </w:t>
      </w:r>
      <w:r w:rsidRPr="00EC208F">
        <w:rPr>
          <w:color w:val="000000" w:themeColor="text1"/>
          <w:sz w:val="24"/>
          <w:szCs w:val="24"/>
        </w:rPr>
        <w:t>Shrestha S. et al found subjects undergoing treatment for 6-12 months duration had 58.54%, 12-18 months had 64.86% and more than 18 months had 63.92% occurrence of dental caries.</w:t>
      </w:r>
      <w:r w:rsidR="00BE55AA" w:rsidRPr="00EC208F">
        <w:rPr>
          <w:color w:val="000000" w:themeColor="text1"/>
          <w:sz w:val="24"/>
          <w:szCs w:val="24"/>
          <w:vertAlign w:val="superscript"/>
        </w:rPr>
        <w:t>25</w:t>
      </w:r>
      <w:r w:rsidRPr="00EC208F">
        <w:rPr>
          <w:color w:val="000000" w:themeColor="text1"/>
          <w:sz w:val="24"/>
          <w:szCs w:val="24"/>
          <w:vertAlign w:val="superscript"/>
        </w:rPr>
        <w:t xml:space="preserve"> </w:t>
      </w:r>
      <w:r w:rsidRPr="00EC208F">
        <w:rPr>
          <w:color w:val="000000" w:themeColor="text1"/>
          <w:sz w:val="24"/>
          <w:szCs w:val="24"/>
        </w:rPr>
        <w:t>Zachrisson S reported greater increase in the gingival index scores one to two months after placement of orthodontic appliances. Thereafter, gingival index scores showed increase at subsequent appointments throughout the active treatment phase.</w:t>
      </w:r>
      <w:r w:rsidR="00BE55AA" w:rsidRPr="00EC208F">
        <w:rPr>
          <w:color w:val="000000" w:themeColor="text1"/>
          <w:sz w:val="24"/>
          <w:szCs w:val="24"/>
          <w:vertAlign w:val="superscript"/>
        </w:rPr>
        <w:t>31</w:t>
      </w:r>
      <w:r w:rsidRPr="00EC208F">
        <w:rPr>
          <w:color w:val="000000" w:themeColor="text1"/>
          <w:sz w:val="24"/>
          <w:szCs w:val="24"/>
        </w:rPr>
        <w:t xml:space="preserve"> Ristic M et al reported gingival inflammation after 3 months of fixed appliance placement.</w:t>
      </w:r>
      <w:r w:rsidR="00BE55AA" w:rsidRPr="00EC208F">
        <w:rPr>
          <w:color w:val="000000" w:themeColor="text1"/>
          <w:sz w:val="24"/>
          <w:szCs w:val="24"/>
          <w:vertAlign w:val="superscript"/>
        </w:rPr>
        <w:t>32</w:t>
      </w:r>
      <w:r w:rsidRPr="00EC208F">
        <w:rPr>
          <w:color w:val="000000" w:themeColor="text1"/>
          <w:sz w:val="24"/>
          <w:szCs w:val="24"/>
        </w:rPr>
        <w:t xml:space="preserve"> Liu H et al reported significant increase in GI during the first 3 months of appliance placement and significant decrease in GI during the first 6 months after appliance removal.</w:t>
      </w:r>
      <w:r w:rsidR="00BE55AA" w:rsidRPr="00EC208F">
        <w:rPr>
          <w:color w:val="000000" w:themeColor="text1"/>
          <w:sz w:val="24"/>
          <w:szCs w:val="24"/>
          <w:vertAlign w:val="superscript"/>
        </w:rPr>
        <w:t>33</w:t>
      </w:r>
      <w:r w:rsidRPr="00EC208F">
        <w:rPr>
          <w:color w:val="000000" w:themeColor="text1"/>
          <w:sz w:val="24"/>
          <w:szCs w:val="24"/>
        </w:rPr>
        <w:t xml:space="preserve"> Karkhanechi M et al reported greater mean GI scores after 6 weeks, 6 months and 12 months of fixed appliance placement.</w:t>
      </w:r>
      <w:r w:rsidR="00BE55AA" w:rsidRPr="00EC208F">
        <w:rPr>
          <w:color w:val="000000" w:themeColor="text1"/>
          <w:sz w:val="24"/>
          <w:szCs w:val="24"/>
          <w:vertAlign w:val="superscript"/>
        </w:rPr>
        <w:t>34</w:t>
      </w:r>
    </w:p>
    <w:p w:rsidR="003A7AC7" w:rsidRPr="00EC208F" w:rsidRDefault="003A7AC7" w:rsidP="003A7AC7">
      <w:pPr>
        <w:spacing w:line="360" w:lineRule="auto"/>
        <w:ind w:firstLine="720"/>
        <w:rPr>
          <w:color w:val="000000" w:themeColor="text1"/>
          <w:sz w:val="24"/>
          <w:szCs w:val="24"/>
          <w:vertAlign w:val="superscript"/>
        </w:rPr>
      </w:pPr>
      <w:r w:rsidRPr="00EC208F">
        <w:rPr>
          <w:color w:val="000000" w:themeColor="text1"/>
          <w:sz w:val="24"/>
          <w:szCs w:val="24"/>
        </w:rPr>
        <w:t>The probable reasons for such findings are; constant presence of fixed appliances and its attachment during the whole treatment creates new retentive places near gingival margins, accumulation of dental plaque and increase in growth of pathogenic bacteria. This results in changed host–microorganisms balance, leading to dental caries, gingival inflammation etc.</w:t>
      </w:r>
      <w:r w:rsidR="00BE55AA" w:rsidRPr="00EC208F">
        <w:rPr>
          <w:color w:val="000000" w:themeColor="text1"/>
          <w:sz w:val="24"/>
          <w:szCs w:val="24"/>
          <w:vertAlign w:val="superscript"/>
        </w:rPr>
        <w:t>32</w:t>
      </w:r>
      <w:r w:rsidRPr="00EC208F">
        <w:rPr>
          <w:color w:val="000000" w:themeColor="text1"/>
          <w:sz w:val="24"/>
          <w:szCs w:val="24"/>
        </w:rPr>
        <w:t xml:space="preserve"> Overhanging gingival margins of orthodontic bands causes prolonged irritation of gingiva and may leads to inflammation.</w:t>
      </w:r>
      <w:r w:rsidR="00BE55AA" w:rsidRPr="00EC208F">
        <w:rPr>
          <w:color w:val="000000" w:themeColor="text1"/>
          <w:sz w:val="24"/>
          <w:szCs w:val="24"/>
          <w:vertAlign w:val="superscript"/>
        </w:rPr>
        <w:t>35</w:t>
      </w:r>
    </w:p>
    <w:p w:rsidR="003A7AC7" w:rsidRPr="00EC208F" w:rsidRDefault="003A7AC7" w:rsidP="003A7AC7">
      <w:pPr>
        <w:spacing w:line="360" w:lineRule="auto"/>
        <w:ind w:firstLine="720"/>
        <w:rPr>
          <w:color w:val="000000" w:themeColor="text1"/>
          <w:sz w:val="24"/>
          <w:szCs w:val="24"/>
        </w:rPr>
      </w:pPr>
      <w:r w:rsidRPr="00EC208F">
        <w:rPr>
          <w:color w:val="000000" w:themeColor="text1"/>
          <w:sz w:val="24"/>
          <w:szCs w:val="24"/>
        </w:rPr>
        <w:t xml:space="preserve">Various studies have been conducted to assess oral health status before and after orthodontic treatment. The present study is the first of its kind in India, to assess the oral health status during orthodontic treatment based on different types of malocclusion and duration of treatment. It was found that the risk for dental caries and gingival health was high </w:t>
      </w:r>
      <w:r w:rsidRPr="00EC208F">
        <w:rPr>
          <w:color w:val="000000" w:themeColor="text1"/>
          <w:sz w:val="24"/>
          <w:szCs w:val="24"/>
        </w:rPr>
        <w:lastRenderedPageBreak/>
        <w:t>during the course of orthodontic treatment. It was observed that Class I malocclusion was prone for poor oral health. Moreover, it was observed that, outcome of orthodontic treatment as well as its consequences on oral health during the course of treatment should be kept in mind, both by clinician and patient to enjoy the quality of life.</w:t>
      </w:r>
    </w:p>
    <w:p w:rsidR="003A7AC7" w:rsidRPr="00EC208F" w:rsidRDefault="00941536" w:rsidP="003A7AC7">
      <w:pPr>
        <w:spacing w:line="360" w:lineRule="auto"/>
        <w:rPr>
          <w:b/>
          <w:bCs/>
          <w:color w:val="000000" w:themeColor="text1"/>
          <w:sz w:val="24"/>
          <w:szCs w:val="24"/>
        </w:rPr>
      </w:pPr>
      <w:r w:rsidRPr="00EC208F">
        <w:rPr>
          <w:b/>
          <w:bCs/>
          <w:color w:val="000000" w:themeColor="text1"/>
          <w:sz w:val="24"/>
          <w:szCs w:val="24"/>
        </w:rPr>
        <w:t>Conclusion:</w:t>
      </w:r>
    </w:p>
    <w:p w:rsidR="003A7AC7" w:rsidRPr="00EC208F" w:rsidRDefault="003A7AC7" w:rsidP="003A7AC7">
      <w:pPr>
        <w:spacing w:line="360" w:lineRule="auto"/>
        <w:ind w:firstLine="720"/>
        <w:rPr>
          <w:color w:val="000000" w:themeColor="text1"/>
          <w:sz w:val="24"/>
          <w:szCs w:val="24"/>
        </w:rPr>
      </w:pPr>
      <w:r w:rsidRPr="00EC208F">
        <w:rPr>
          <w:color w:val="000000" w:themeColor="text1"/>
          <w:sz w:val="24"/>
          <w:szCs w:val="24"/>
        </w:rPr>
        <w:t>The findings of present study conclude that oral health status of patients during orthodontic treatment is poor and keeps on deteriorating as the duration of treatment progresses.  These consequences of orthodontic treatment are inevitable but can be prevented or limited to a lesser extent. Therefore, constant motivation and repeated instructions regarding good oral health at regular intervals should be given great emphasis during the course of orthodontic treatment.</w:t>
      </w:r>
    </w:p>
    <w:p w:rsidR="003A7AC7" w:rsidRPr="00EC208F" w:rsidRDefault="003A7AC7" w:rsidP="00B97176">
      <w:pPr>
        <w:spacing w:line="360" w:lineRule="auto"/>
        <w:rPr>
          <w:color w:val="000000" w:themeColor="text1"/>
          <w:sz w:val="24"/>
          <w:szCs w:val="24"/>
        </w:rPr>
      </w:pPr>
      <w:r w:rsidRPr="00EC208F">
        <w:rPr>
          <w:color w:val="000000" w:themeColor="text1"/>
          <w:sz w:val="24"/>
          <w:szCs w:val="24"/>
        </w:rPr>
        <w:t>Moreover, from a public health perspective, problem of poor oral health during orthodontic treatment is an alarming challenge and warrants significant attention from both patient and clinician. Therefore, it is important for a clinician to examine the oral health status of patients before the start of orthodontic treatment and to decide whether the patient is eligible for the treatment or is at high risk for poor oral health and accordingly plan the treatment with proper oral hygiene instructions and motivation.</w:t>
      </w:r>
    </w:p>
    <w:p w:rsidR="00B97176" w:rsidRPr="00EC208F" w:rsidRDefault="00B97176" w:rsidP="00941536">
      <w:pPr>
        <w:spacing w:line="360" w:lineRule="auto"/>
        <w:rPr>
          <w:b/>
          <w:sz w:val="24"/>
          <w:szCs w:val="24"/>
        </w:rPr>
      </w:pPr>
      <w:r w:rsidRPr="00EC208F">
        <w:rPr>
          <w:b/>
          <w:sz w:val="24"/>
          <w:szCs w:val="24"/>
        </w:rPr>
        <w:t>References:</w:t>
      </w:r>
    </w:p>
    <w:p w:rsidR="00A95C44"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WHO: Oral Health – What is the burden of oral disease? www.who.int/oral_health/disease_bu</w:t>
      </w:r>
      <w:r w:rsidR="009732ED" w:rsidRPr="00EC208F">
        <w:rPr>
          <w:rFonts w:ascii="Times New Roman" w:hAnsi="Times New Roman" w:cs="Times New Roman"/>
          <w:sz w:val="24"/>
          <w:szCs w:val="24"/>
        </w:rPr>
        <w:t>rden/global/en/ assessed on 16/12</w:t>
      </w:r>
      <w:r w:rsidRPr="00EC208F">
        <w:rPr>
          <w:rFonts w:ascii="Times New Roman" w:hAnsi="Times New Roman" w:cs="Times New Roman"/>
          <w:sz w:val="24"/>
          <w:szCs w:val="24"/>
        </w:rPr>
        <w:t>/201</w:t>
      </w:r>
      <w:r w:rsidR="009732ED" w:rsidRPr="00EC208F">
        <w:rPr>
          <w:rFonts w:ascii="Times New Roman" w:hAnsi="Times New Roman" w:cs="Times New Roman"/>
          <w:sz w:val="24"/>
          <w:szCs w:val="24"/>
        </w:rPr>
        <w:t>4</w:t>
      </w:r>
      <w:r w:rsidR="00A95C44" w:rsidRPr="00EC208F">
        <w:rPr>
          <w:rFonts w:ascii="Times New Roman" w:hAnsi="Times New Roman" w:cs="Times New Roman"/>
          <w:sz w:val="24"/>
          <w:szCs w:val="24"/>
        </w:rPr>
        <w:t>.</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Brito DI, Dias PF, Gleiser R. Prevalence of malocclusion in children aged 9 to 12 years old in the city of Nova Friburgo, Rio de Janeiro State, Brazil. R Dental press Ortodon Ortop Facial Maringa. 2009;14(6):118-124.</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Laganà G, Masucci C, Fabi F, Bollero P, Cozza P. Prevalence of malocclusions, oral habits and orthodontic treatment need in a 7- to 15-year-old schoolchildren population in Tirana. Prog Orthod. 2013; 14(1):12.</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Ahammed AR. Prevalence of malocclusion among 12 to 15 years age group orphan children using Dental Aesthetic Index. J Contemp Dent Pract. 2013;14(1):111-4.</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lastRenderedPageBreak/>
        <w:t>Pruthi N, Sogi GM, Fotedar S. Malocclusion and deleterious oral habits in a north Indian adolescent population: A correlational study. Eur J Gen Dent. 2013; 2(3):257-63.</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Baranovic M, StipetiC M, Baricevic, Baranovic M, Cimic A, Blaževic A. Oral Mucosa Status of Patients Undergoing Orthodontic Treatment. Acta Stomatol Croat. 2009;43(2):117-25.</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Jahanbin A, Pezeshkirad H. The effects of upper lip height on smile esthetics perception in normal occlusion and nonextraction, orthodontically treated females. Indian J Dent Res. 2008;19(3):204-7.</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Fornell AC, Skold-Larsson K, Hallgren A, Bergstrand F, Twetman S. Effect of a hydrophobic tooth coating on gingival health, mutans streptococci, and enamel demineralization in adolescents with fixed orthodontic appliances. Acta Odontol Scand 2002;60:37e41.</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Lundstrom F, Krasse B. Streptococcus mutans and lactobacilli frequency in orthodontic patients; the effect of chlorhexidine treatments. Eur J Orthod 1987;9:109e16.</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 xml:space="preserve">Chang HS, Walsh LJ, Freer TJ. The effect of orthodontic treatment on salivary flow, pH, buffer capacity, and levels of mutans streptococci and lactobacilli. Aust Orthod J 1999;15: 229-34. </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World Health Organization. Oral Health Surveys. Basic Methods. Geneva: World Health Organization, 1997.</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Klein H, Palmer CE, Knutson JW. Studies on dental caries. Dental status and dental needs of elementary school children. Pub Health Rep. 1938;53:751</w:t>
      </w:r>
      <w:r w:rsidRPr="00EC208F">
        <w:rPr>
          <w:rFonts w:ascii="Cambria Math" w:hAnsi="Cambria Math" w:cs="Times New Roman"/>
          <w:sz w:val="24"/>
          <w:szCs w:val="24"/>
        </w:rPr>
        <w:t>‐</w:t>
      </w:r>
      <w:r w:rsidRPr="00EC208F">
        <w:rPr>
          <w:rFonts w:ascii="Times New Roman" w:hAnsi="Times New Roman" w:cs="Times New Roman"/>
          <w:sz w:val="24"/>
          <w:szCs w:val="24"/>
        </w:rPr>
        <w:t>65.</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Loe H. &amp; Silness J. Periodontal disease in pregnancy. Prevalence and severity. Acta Odontol Scand. 1963;21:533-51.</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Phulari BS. Orthodontics Principles and Practice. 1</w:t>
      </w:r>
      <w:r w:rsidRPr="00EC208F">
        <w:rPr>
          <w:rFonts w:ascii="Times New Roman" w:hAnsi="Times New Roman" w:cs="Times New Roman"/>
          <w:sz w:val="24"/>
          <w:szCs w:val="24"/>
          <w:vertAlign w:val="superscript"/>
        </w:rPr>
        <w:t>st</w:t>
      </w:r>
      <w:r w:rsidRPr="00EC208F">
        <w:rPr>
          <w:rFonts w:ascii="Times New Roman" w:hAnsi="Times New Roman" w:cs="Times New Roman"/>
          <w:sz w:val="24"/>
          <w:szCs w:val="24"/>
        </w:rPr>
        <w:t xml:space="preserve"> Edition, New Delhi: Jaypee brother’s medical publishers; 2011.</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Mattousch TJ, van der Veen MH, Zentner A. Caries lesions after orthodontic treatment followed by quantitative light-induced fluorescence: a 2-year follow-up. Eur J Orthod 2007;29:294e8.</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lastRenderedPageBreak/>
        <w:t>Aljehani A, Bamzahim M, Yousif MA, Shi XQ. In vivo reliability of an infrared fluorescence method for quantification of carious lesions in orthodontic patients. Oral Health Prev Dent 2006;4: 145e50.</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Artun J, Thylstrup A. A 3-year clinical and SEM study of surface changes of carious enamel lesions after inactivation. Am J Orthod Dentofacial Orthop 1989;95:327e33.</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Sonbul H, Al-Otaibi M, Birkhed D. Risk profile of adults with several dental restorations using the Cariogram model. Acta Odontol Scand 2008;66:351e7.</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Al Mulla AH, Kharsa SA, Kjellberg H, Birkhed D. Caries risk profiles in orthodontic patients at follow-up using Cariogram. Angle Orthod 2009;79:323e30.</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Lovrov S, Hertrich K, Hirschfelder U. Enamel demineralization during fixed orthodontic treatment e incidence and correlation to various oral-hygiene parameters. J Orofac Orthop 2007; 68:353e63.</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Wisth PJ, Nord A. Caries experience in orthodontically treated individuals. Angle Orthod 1977;47:59e64.</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Lundstrom F, Krasse B. Caries incidence in orthodontic patients with high levels of Streptococcus mutans. Eur J Orthod 1987;9: 117e21.</w:t>
      </w:r>
    </w:p>
    <w:p w:rsidR="00B97176" w:rsidRPr="00EC208F" w:rsidRDefault="00B97176" w:rsidP="003E28B9">
      <w:pPr>
        <w:pStyle w:val="ListParagraph"/>
        <w:numPr>
          <w:ilvl w:val="0"/>
          <w:numId w:val="5"/>
        </w:numPr>
        <w:tabs>
          <w:tab w:val="left" w:pos="-180"/>
        </w:tabs>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Alstad S, Zachrisson BU. Longitudinal study of periodontal condition associated with orthodontic treatment in adolescents. Am J Orthod. 1979;76(3):277-86.</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Shrestha S, Shrestha L, Shrestha N, Shrestha RM. Effect of Orthodontic Treatment in Occurrence of Dental Caries. Orthodontic Journal of Nepal. 2013;3(1):31-6.</w:t>
      </w:r>
    </w:p>
    <w:p w:rsidR="00B97176" w:rsidRPr="00EC208F" w:rsidRDefault="00B97176" w:rsidP="003E28B9">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Sayin MO, Türkkahraman H. Malocclusion and crowding in an orthodontically referred Turkish population. Angle Orthod. 2004;74(5):635-9.</w:t>
      </w:r>
    </w:p>
    <w:p w:rsidR="00B97176" w:rsidRPr="00EC208F" w:rsidRDefault="00B97176" w:rsidP="003E28B9">
      <w:pPr>
        <w:pStyle w:val="ListParagraph"/>
        <w:numPr>
          <w:ilvl w:val="0"/>
          <w:numId w:val="5"/>
        </w:numPr>
        <w:tabs>
          <w:tab w:val="left" w:pos="-180"/>
        </w:tabs>
        <w:spacing w:before="240" w:line="360" w:lineRule="auto"/>
        <w:jc w:val="both"/>
        <w:rPr>
          <w:rFonts w:ascii="Times New Roman" w:hAnsi="Times New Roman" w:cs="Times New Roman"/>
          <w:sz w:val="24"/>
          <w:szCs w:val="24"/>
        </w:rPr>
      </w:pPr>
      <w:r w:rsidRPr="00EC208F">
        <w:rPr>
          <w:rFonts w:ascii="Times New Roman" w:hAnsi="Times New Roman" w:cs="Times New Roman"/>
          <w:sz w:val="24"/>
          <w:szCs w:val="24"/>
        </w:rPr>
        <w:t>El-Mangoury NH, Gaafar SM, Mostafa YA. Mandibular anterior crowding and periodontal disease. Angle Orthod.1987;57(1):33-8.</w:t>
      </w:r>
    </w:p>
    <w:p w:rsidR="00B97176" w:rsidRPr="00EC208F" w:rsidRDefault="00B97176" w:rsidP="003E28B9">
      <w:pPr>
        <w:pStyle w:val="ListParagraph"/>
        <w:numPr>
          <w:ilvl w:val="0"/>
          <w:numId w:val="5"/>
        </w:numPr>
        <w:tabs>
          <w:tab w:val="left" w:pos="-180"/>
        </w:tabs>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Hörup N, Melsen B, Terp S Relationship between malocclusion and maintenance of teeth. Community Dent Oral Epidemiol. 1987;15(2):74-8.</w:t>
      </w:r>
    </w:p>
    <w:p w:rsidR="00B97176" w:rsidRPr="00EC208F" w:rsidRDefault="00B97176" w:rsidP="003E28B9">
      <w:pPr>
        <w:pStyle w:val="ListParagraph"/>
        <w:numPr>
          <w:ilvl w:val="0"/>
          <w:numId w:val="5"/>
        </w:numPr>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Pejda S, Juric H, Repic D, Jokic D, Medvedec I, Sudarevic S. Oral Health Changes during Early Phase of Orthodontic Treatment. Oral Hyg Health. 2013;1(2):1-4.</w:t>
      </w:r>
    </w:p>
    <w:p w:rsidR="00B97176" w:rsidRPr="00EC208F" w:rsidRDefault="00B97176" w:rsidP="003E28B9">
      <w:pPr>
        <w:pStyle w:val="ListParagraph"/>
        <w:numPr>
          <w:ilvl w:val="0"/>
          <w:numId w:val="5"/>
        </w:numPr>
        <w:tabs>
          <w:tab w:val="left" w:pos="-180"/>
        </w:tabs>
        <w:spacing w:before="240" w:line="360" w:lineRule="auto"/>
        <w:jc w:val="both"/>
        <w:rPr>
          <w:rFonts w:ascii="Times New Roman" w:hAnsi="Times New Roman" w:cs="Times New Roman"/>
          <w:sz w:val="24"/>
          <w:szCs w:val="24"/>
        </w:rPr>
      </w:pPr>
      <w:r w:rsidRPr="00EC208F">
        <w:rPr>
          <w:rFonts w:ascii="Times New Roman" w:hAnsi="Times New Roman" w:cs="Times New Roman"/>
          <w:sz w:val="24"/>
          <w:szCs w:val="24"/>
        </w:rPr>
        <w:t>Zachrisson BU, Zachrisson S. Caries incidence and oral hygiene during orthodontic treatment. Scand J Dent Res. 1971;79(6):394-401.</w:t>
      </w:r>
    </w:p>
    <w:p w:rsidR="00B97176" w:rsidRPr="00EC208F" w:rsidRDefault="00B97176" w:rsidP="003E28B9">
      <w:pPr>
        <w:pStyle w:val="ListParagraph"/>
        <w:numPr>
          <w:ilvl w:val="0"/>
          <w:numId w:val="5"/>
        </w:numPr>
        <w:tabs>
          <w:tab w:val="left" w:pos="-180"/>
        </w:tabs>
        <w:spacing w:before="240" w:line="360" w:lineRule="auto"/>
        <w:jc w:val="both"/>
        <w:rPr>
          <w:rFonts w:ascii="Times New Roman" w:hAnsi="Times New Roman" w:cs="Times New Roman"/>
          <w:sz w:val="24"/>
          <w:szCs w:val="24"/>
        </w:rPr>
      </w:pPr>
      <w:r w:rsidRPr="00EC208F">
        <w:rPr>
          <w:rFonts w:ascii="Times New Roman" w:hAnsi="Times New Roman" w:cs="Times New Roman"/>
          <w:sz w:val="24"/>
          <w:szCs w:val="24"/>
        </w:rPr>
        <w:lastRenderedPageBreak/>
        <w:t>Zachrisson S, Zachrisson BU. Gingival condition associated with orthodontic treatment. Angle Orthod. 1972;42(1):26-34.</w:t>
      </w:r>
    </w:p>
    <w:p w:rsidR="00B97176" w:rsidRPr="00EC208F" w:rsidRDefault="00B97176" w:rsidP="003E28B9">
      <w:pPr>
        <w:pStyle w:val="ListParagraph"/>
        <w:numPr>
          <w:ilvl w:val="0"/>
          <w:numId w:val="5"/>
        </w:numPr>
        <w:tabs>
          <w:tab w:val="left" w:pos="-180"/>
        </w:tabs>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Ristic M, Vlahovic Svabic M, Sasic M, Zelic O. Clinical and microbiological effects of fixed orthodontic appliances on periodontal tissues in adolescents. Orthod Craniofacial Res. 2007;10:187–95.</w:t>
      </w:r>
    </w:p>
    <w:p w:rsidR="00B97176" w:rsidRPr="00EC208F" w:rsidRDefault="00B97176" w:rsidP="003E28B9">
      <w:pPr>
        <w:pStyle w:val="ListParagraph"/>
        <w:numPr>
          <w:ilvl w:val="0"/>
          <w:numId w:val="5"/>
        </w:numPr>
        <w:tabs>
          <w:tab w:val="left" w:pos="-180"/>
        </w:tabs>
        <w:autoSpaceDE w:val="0"/>
        <w:autoSpaceDN w:val="0"/>
        <w:adjustRightInd w:val="0"/>
        <w:spacing w:before="240"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 xml:space="preserve">Liu H, Sun J, Dong Y, Lu H, Zhou H, Hansen BF, Song X. Periodontal health and relative quantity of subgingival Porphyromonas gingivalis during orthodontic treatment. Angle Orthod. 2011;81(4):609-15. </w:t>
      </w:r>
    </w:p>
    <w:p w:rsidR="00B97176" w:rsidRPr="00EC208F" w:rsidRDefault="00B97176" w:rsidP="003E28B9">
      <w:pPr>
        <w:pStyle w:val="ListParagraph"/>
        <w:numPr>
          <w:ilvl w:val="0"/>
          <w:numId w:val="5"/>
        </w:numPr>
        <w:tabs>
          <w:tab w:val="left" w:pos="-180"/>
        </w:tabs>
        <w:autoSpaceDE w:val="0"/>
        <w:autoSpaceDN w:val="0"/>
        <w:adjustRightInd w:val="0"/>
        <w:spacing w:after="0" w:line="360" w:lineRule="auto"/>
        <w:jc w:val="both"/>
        <w:rPr>
          <w:rFonts w:ascii="Times New Roman" w:hAnsi="Times New Roman" w:cs="Times New Roman"/>
          <w:sz w:val="24"/>
          <w:szCs w:val="24"/>
        </w:rPr>
      </w:pPr>
      <w:r w:rsidRPr="00EC208F">
        <w:rPr>
          <w:rFonts w:ascii="Times New Roman" w:hAnsi="Times New Roman" w:cs="Times New Roman"/>
          <w:sz w:val="24"/>
          <w:szCs w:val="24"/>
        </w:rPr>
        <w:t>Karkhanechi M et al. Periodontal status of adult patients treated with fixed buccal appliances and removable aligners over one year of active orthodontic therapy. Angle Orthod. 2013;83(1):146-51.</w:t>
      </w:r>
    </w:p>
    <w:p w:rsidR="00B97176" w:rsidRPr="00EC208F" w:rsidRDefault="00B97176" w:rsidP="003E28B9">
      <w:pPr>
        <w:pStyle w:val="ListParagraph"/>
        <w:numPr>
          <w:ilvl w:val="0"/>
          <w:numId w:val="5"/>
        </w:numPr>
        <w:tabs>
          <w:tab w:val="left" w:pos="-180"/>
        </w:tabs>
        <w:spacing w:before="240" w:line="360" w:lineRule="auto"/>
        <w:jc w:val="both"/>
        <w:rPr>
          <w:rFonts w:ascii="Times New Roman" w:hAnsi="Times New Roman" w:cs="Times New Roman"/>
          <w:sz w:val="24"/>
          <w:szCs w:val="24"/>
        </w:rPr>
      </w:pPr>
      <w:r w:rsidRPr="00EC208F">
        <w:rPr>
          <w:rFonts w:ascii="Times New Roman" w:hAnsi="Times New Roman" w:cs="Times New Roman"/>
          <w:sz w:val="24"/>
          <w:szCs w:val="24"/>
        </w:rPr>
        <w:t>Boyd RL, Baumrind S. Periodontal considerations in the use of bonds or bands on molars in adolescents and adults. Angle Orthod. 1992;62(2):117-26.</w:t>
      </w:r>
    </w:p>
    <w:p w:rsidR="00B97176" w:rsidRPr="00EC208F" w:rsidRDefault="00B97176" w:rsidP="00B97176">
      <w:pPr>
        <w:autoSpaceDE w:val="0"/>
        <w:autoSpaceDN w:val="0"/>
        <w:adjustRightInd w:val="0"/>
        <w:spacing w:line="360" w:lineRule="auto"/>
        <w:rPr>
          <w:sz w:val="24"/>
          <w:szCs w:val="24"/>
        </w:rPr>
      </w:pPr>
    </w:p>
    <w:p w:rsidR="00B97176" w:rsidRPr="00EC208F" w:rsidRDefault="00B97176" w:rsidP="00B97176">
      <w:pPr>
        <w:rPr>
          <w:b/>
          <w:sz w:val="24"/>
          <w:szCs w:val="24"/>
        </w:rPr>
      </w:pPr>
      <w:r w:rsidRPr="00EC208F">
        <w:rPr>
          <w:sz w:val="24"/>
          <w:szCs w:val="24"/>
        </w:rPr>
        <w:br w:type="page"/>
      </w:r>
      <w:r w:rsidRPr="00EC208F">
        <w:rPr>
          <w:b/>
          <w:sz w:val="24"/>
          <w:szCs w:val="24"/>
        </w:rPr>
        <w:lastRenderedPageBreak/>
        <w:t>TABLES:</w:t>
      </w:r>
    </w:p>
    <w:p w:rsidR="00B97176" w:rsidRPr="00EC208F" w:rsidRDefault="00B97176" w:rsidP="00B97176">
      <w:pPr>
        <w:jc w:val="center"/>
        <w:rPr>
          <w:b/>
          <w:sz w:val="24"/>
          <w:szCs w:val="24"/>
        </w:rPr>
      </w:pPr>
      <w:r w:rsidRPr="00EC208F">
        <w:rPr>
          <w:b/>
          <w:sz w:val="24"/>
          <w:szCs w:val="24"/>
        </w:rPr>
        <w:t>Table No. 1: Distribution of study subjects according to Gender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1745"/>
      </w:tblGrid>
      <w:tr w:rsidR="00B97176" w:rsidRPr="00EC208F" w:rsidTr="00C91EA0">
        <w:trPr>
          <w:jc w:val="center"/>
        </w:trPr>
        <w:tc>
          <w:tcPr>
            <w:tcW w:w="1057" w:type="dxa"/>
            <w:shd w:val="clear" w:color="auto" w:fill="auto"/>
          </w:tcPr>
          <w:p w:rsidR="00B97176" w:rsidRPr="00EC208F" w:rsidRDefault="00B97176" w:rsidP="00C91EA0">
            <w:pPr>
              <w:jc w:val="center"/>
              <w:rPr>
                <w:rFonts w:eastAsia="Calibri"/>
                <w:b/>
                <w:sz w:val="24"/>
                <w:szCs w:val="24"/>
              </w:rPr>
            </w:pPr>
            <w:r w:rsidRPr="00EC208F">
              <w:rPr>
                <w:rFonts w:eastAsia="Calibri"/>
                <w:b/>
                <w:sz w:val="24"/>
                <w:szCs w:val="24"/>
              </w:rPr>
              <w:t>Gender</w:t>
            </w:r>
          </w:p>
        </w:tc>
        <w:tc>
          <w:tcPr>
            <w:tcW w:w="1745" w:type="dxa"/>
            <w:shd w:val="clear" w:color="auto" w:fill="auto"/>
          </w:tcPr>
          <w:p w:rsidR="00B97176" w:rsidRPr="00EC208F" w:rsidRDefault="00B97176" w:rsidP="00C91EA0">
            <w:pPr>
              <w:jc w:val="center"/>
              <w:rPr>
                <w:rFonts w:eastAsia="Calibri"/>
                <w:b/>
                <w:sz w:val="24"/>
                <w:szCs w:val="24"/>
              </w:rPr>
            </w:pPr>
            <w:r w:rsidRPr="00EC208F">
              <w:rPr>
                <w:rFonts w:eastAsia="Calibri"/>
                <w:b/>
                <w:sz w:val="24"/>
                <w:szCs w:val="24"/>
              </w:rPr>
              <w:t>N</w:t>
            </w:r>
          </w:p>
        </w:tc>
      </w:tr>
      <w:tr w:rsidR="00B97176" w:rsidRPr="00EC208F" w:rsidTr="00C91EA0">
        <w:trPr>
          <w:jc w:val="center"/>
        </w:trPr>
        <w:tc>
          <w:tcPr>
            <w:tcW w:w="1057" w:type="dxa"/>
            <w:shd w:val="clear" w:color="auto" w:fill="auto"/>
          </w:tcPr>
          <w:p w:rsidR="00B97176" w:rsidRPr="00EC208F" w:rsidRDefault="00B97176" w:rsidP="00C91EA0">
            <w:pPr>
              <w:jc w:val="center"/>
              <w:rPr>
                <w:rFonts w:eastAsia="Calibri"/>
                <w:b/>
                <w:sz w:val="24"/>
                <w:szCs w:val="24"/>
              </w:rPr>
            </w:pPr>
            <w:r w:rsidRPr="00EC208F">
              <w:rPr>
                <w:rFonts w:eastAsia="Calibri"/>
                <w:b/>
                <w:sz w:val="24"/>
                <w:szCs w:val="24"/>
              </w:rPr>
              <w:t>Male</w:t>
            </w:r>
          </w:p>
        </w:tc>
        <w:tc>
          <w:tcPr>
            <w:tcW w:w="1745" w:type="dxa"/>
            <w:shd w:val="clear" w:color="auto" w:fill="auto"/>
          </w:tcPr>
          <w:p w:rsidR="00B97176" w:rsidRPr="00EC208F" w:rsidRDefault="00B97176" w:rsidP="00C91EA0">
            <w:pPr>
              <w:jc w:val="center"/>
              <w:rPr>
                <w:rFonts w:eastAsia="Calibri"/>
                <w:sz w:val="24"/>
                <w:szCs w:val="24"/>
              </w:rPr>
            </w:pPr>
            <w:r w:rsidRPr="00EC208F">
              <w:rPr>
                <w:rFonts w:eastAsia="Calibri"/>
                <w:sz w:val="24"/>
                <w:szCs w:val="24"/>
              </w:rPr>
              <w:t>78 (30.83%)</w:t>
            </w:r>
          </w:p>
        </w:tc>
      </w:tr>
      <w:tr w:rsidR="00B97176" w:rsidRPr="00EC208F" w:rsidTr="00C91EA0">
        <w:trPr>
          <w:trHeight w:val="290"/>
          <w:jc w:val="center"/>
        </w:trPr>
        <w:tc>
          <w:tcPr>
            <w:tcW w:w="1057" w:type="dxa"/>
            <w:shd w:val="clear" w:color="auto" w:fill="auto"/>
          </w:tcPr>
          <w:p w:rsidR="00B97176" w:rsidRPr="00EC208F" w:rsidRDefault="00B97176" w:rsidP="00C91EA0">
            <w:pPr>
              <w:jc w:val="center"/>
              <w:rPr>
                <w:rFonts w:eastAsia="Calibri"/>
                <w:b/>
                <w:sz w:val="24"/>
                <w:szCs w:val="24"/>
              </w:rPr>
            </w:pPr>
            <w:r w:rsidRPr="00EC208F">
              <w:rPr>
                <w:rFonts w:eastAsia="Calibri"/>
                <w:b/>
                <w:sz w:val="24"/>
                <w:szCs w:val="24"/>
              </w:rPr>
              <w:t>Female</w:t>
            </w:r>
          </w:p>
        </w:tc>
        <w:tc>
          <w:tcPr>
            <w:tcW w:w="1745" w:type="dxa"/>
            <w:shd w:val="clear" w:color="auto" w:fill="auto"/>
          </w:tcPr>
          <w:p w:rsidR="00B97176" w:rsidRPr="00EC208F" w:rsidRDefault="00B97176" w:rsidP="00C91EA0">
            <w:pPr>
              <w:jc w:val="center"/>
              <w:rPr>
                <w:rFonts w:eastAsia="Calibri"/>
                <w:sz w:val="24"/>
                <w:szCs w:val="24"/>
              </w:rPr>
            </w:pPr>
            <w:r w:rsidRPr="00EC208F">
              <w:rPr>
                <w:rFonts w:eastAsia="Calibri"/>
                <w:sz w:val="24"/>
                <w:szCs w:val="24"/>
              </w:rPr>
              <w:t>175 (69.17%)</w:t>
            </w:r>
          </w:p>
        </w:tc>
      </w:tr>
      <w:tr w:rsidR="00B97176" w:rsidRPr="00EC208F" w:rsidTr="00C91EA0">
        <w:trPr>
          <w:jc w:val="center"/>
        </w:trPr>
        <w:tc>
          <w:tcPr>
            <w:tcW w:w="1057" w:type="dxa"/>
            <w:shd w:val="clear" w:color="auto" w:fill="auto"/>
          </w:tcPr>
          <w:p w:rsidR="00B97176" w:rsidRPr="00EC208F" w:rsidRDefault="00B97176" w:rsidP="00C91EA0">
            <w:pPr>
              <w:jc w:val="center"/>
              <w:rPr>
                <w:rFonts w:eastAsia="Calibri"/>
                <w:b/>
                <w:sz w:val="24"/>
                <w:szCs w:val="24"/>
              </w:rPr>
            </w:pPr>
            <w:r w:rsidRPr="00EC208F">
              <w:rPr>
                <w:rFonts w:eastAsia="Calibri"/>
                <w:b/>
                <w:sz w:val="24"/>
                <w:szCs w:val="24"/>
              </w:rPr>
              <w:t>Overall</w:t>
            </w:r>
          </w:p>
        </w:tc>
        <w:tc>
          <w:tcPr>
            <w:tcW w:w="1745" w:type="dxa"/>
            <w:shd w:val="clear" w:color="auto" w:fill="auto"/>
          </w:tcPr>
          <w:p w:rsidR="00B97176" w:rsidRPr="00EC208F" w:rsidRDefault="00B97176" w:rsidP="00C91EA0">
            <w:pPr>
              <w:jc w:val="center"/>
              <w:rPr>
                <w:rFonts w:eastAsia="Calibri"/>
                <w:sz w:val="24"/>
                <w:szCs w:val="24"/>
              </w:rPr>
            </w:pPr>
            <w:r w:rsidRPr="00EC208F">
              <w:rPr>
                <w:rFonts w:eastAsia="Calibri"/>
                <w:sz w:val="24"/>
                <w:szCs w:val="24"/>
              </w:rPr>
              <w:t>253 (100%)</w:t>
            </w:r>
          </w:p>
        </w:tc>
      </w:tr>
    </w:tbl>
    <w:p w:rsidR="00B97176" w:rsidRPr="00EC208F" w:rsidRDefault="00B97176" w:rsidP="00B97176">
      <w:pPr>
        <w:jc w:val="center"/>
        <w:rPr>
          <w:b/>
          <w:sz w:val="24"/>
          <w:szCs w:val="24"/>
        </w:rPr>
      </w:pPr>
    </w:p>
    <w:p w:rsidR="00B97176" w:rsidRPr="00EC208F" w:rsidRDefault="00B97176" w:rsidP="00B97176">
      <w:pPr>
        <w:jc w:val="center"/>
        <w:rPr>
          <w:b/>
          <w:sz w:val="24"/>
          <w:szCs w:val="24"/>
        </w:rPr>
      </w:pPr>
    </w:p>
    <w:p w:rsidR="00B97176" w:rsidRPr="00EC208F" w:rsidRDefault="00B97176" w:rsidP="00B97176">
      <w:pPr>
        <w:jc w:val="center"/>
        <w:rPr>
          <w:b/>
          <w:sz w:val="24"/>
          <w:szCs w:val="24"/>
        </w:rPr>
      </w:pPr>
      <w:r w:rsidRPr="00EC208F">
        <w:rPr>
          <w:b/>
          <w:sz w:val="24"/>
          <w:szCs w:val="24"/>
        </w:rPr>
        <w:t>Table No. 2: Distribution of study subjects according to Malocclusion</w:t>
      </w:r>
    </w:p>
    <w:tbl>
      <w:tblPr>
        <w:tblW w:w="3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984"/>
      </w:tblGrid>
      <w:tr w:rsidR="00B97176" w:rsidRPr="00EC208F" w:rsidTr="00C91EA0">
        <w:trPr>
          <w:trHeight w:val="702"/>
          <w:jc w:val="center"/>
        </w:trPr>
        <w:tc>
          <w:tcPr>
            <w:tcW w:w="1843" w:type="dxa"/>
            <w:shd w:val="clear" w:color="auto" w:fill="auto"/>
            <w:noWrap/>
            <w:hideMark/>
          </w:tcPr>
          <w:p w:rsidR="00B97176" w:rsidRPr="00EC208F" w:rsidRDefault="00B97176" w:rsidP="00C91EA0">
            <w:pPr>
              <w:spacing w:line="276" w:lineRule="auto"/>
              <w:jc w:val="center"/>
              <w:rPr>
                <w:rFonts w:eastAsia="Calibri"/>
                <w:b/>
                <w:bCs/>
                <w:sz w:val="24"/>
                <w:szCs w:val="24"/>
              </w:rPr>
            </w:pPr>
            <w:r w:rsidRPr="00EC208F">
              <w:rPr>
                <w:rFonts w:eastAsia="Calibri"/>
                <w:b/>
                <w:bCs/>
                <w:sz w:val="24"/>
                <w:szCs w:val="24"/>
              </w:rPr>
              <w:t>Type of Malocclusion</w:t>
            </w:r>
          </w:p>
        </w:tc>
        <w:tc>
          <w:tcPr>
            <w:tcW w:w="1984" w:type="dxa"/>
            <w:shd w:val="clear" w:color="auto" w:fill="auto"/>
            <w:hideMark/>
          </w:tcPr>
          <w:p w:rsidR="00B97176" w:rsidRPr="00EC208F" w:rsidRDefault="00B97176" w:rsidP="00C91EA0">
            <w:pPr>
              <w:spacing w:line="276" w:lineRule="auto"/>
              <w:jc w:val="center"/>
              <w:rPr>
                <w:rFonts w:eastAsia="Calibri"/>
                <w:b/>
                <w:bCs/>
                <w:sz w:val="24"/>
                <w:szCs w:val="24"/>
              </w:rPr>
            </w:pPr>
            <w:r w:rsidRPr="00EC208F">
              <w:rPr>
                <w:rFonts w:eastAsia="Calibri"/>
                <w:b/>
                <w:bCs/>
                <w:sz w:val="24"/>
                <w:szCs w:val="24"/>
              </w:rPr>
              <w:t>N</w:t>
            </w:r>
          </w:p>
        </w:tc>
      </w:tr>
      <w:tr w:rsidR="00B97176" w:rsidRPr="00EC208F" w:rsidTr="00C91EA0">
        <w:trPr>
          <w:trHeight w:val="337"/>
          <w:jc w:val="center"/>
        </w:trPr>
        <w:tc>
          <w:tcPr>
            <w:tcW w:w="1843" w:type="dxa"/>
            <w:shd w:val="clear" w:color="auto" w:fill="auto"/>
            <w:hideMark/>
          </w:tcPr>
          <w:p w:rsidR="00B97176" w:rsidRPr="00EC208F" w:rsidRDefault="00B97176" w:rsidP="00C91EA0">
            <w:pPr>
              <w:spacing w:line="276" w:lineRule="auto"/>
              <w:jc w:val="center"/>
              <w:rPr>
                <w:rFonts w:eastAsia="Calibri"/>
                <w:b/>
                <w:sz w:val="24"/>
                <w:szCs w:val="24"/>
              </w:rPr>
            </w:pPr>
            <w:r w:rsidRPr="00EC208F">
              <w:rPr>
                <w:rFonts w:eastAsia="Calibri"/>
                <w:b/>
                <w:sz w:val="24"/>
                <w:szCs w:val="24"/>
              </w:rPr>
              <w:t>Class I</w:t>
            </w:r>
          </w:p>
        </w:tc>
        <w:tc>
          <w:tcPr>
            <w:tcW w:w="1984" w:type="dxa"/>
            <w:shd w:val="clear" w:color="auto" w:fill="auto"/>
            <w:hideMark/>
          </w:tcPr>
          <w:p w:rsidR="00B97176" w:rsidRPr="00EC208F" w:rsidRDefault="00B97176" w:rsidP="00C91EA0">
            <w:pPr>
              <w:spacing w:line="276" w:lineRule="auto"/>
              <w:jc w:val="center"/>
              <w:rPr>
                <w:rFonts w:eastAsia="Calibri"/>
                <w:sz w:val="24"/>
                <w:szCs w:val="24"/>
              </w:rPr>
            </w:pPr>
            <w:r w:rsidRPr="00EC208F">
              <w:rPr>
                <w:rFonts w:eastAsia="Calibri"/>
                <w:sz w:val="24"/>
                <w:szCs w:val="24"/>
              </w:rPr>
              <w:t>125 (49.41%)</w:t>
            </w:r>
          </w:p>
        </w:tc>
      </w:tr>
      <w:tr w:rsidR="00B97176" w:rsidRPr="00EC208F" w:rsidTr="00C91EA0">
        <w:trPr>
          <w:trHeight w:val="337"/>
          <w:jc w:val="center"/>
        </w:trPr>
        <w:tc>
          <w:tcPr>
            <w:tcW w:w="1843" w:type="dxa"/>
            <w:shd w:val="clear" w:color="auto" w:fill="auto"/>
            <w:hideMark/>
          </w:tcPr>
          <w:p w:rsidR="00B97176" w:rsidRPr="00EC208F" w:rsidRDefault="00B97176" w:rsidP="00C91EA0">
            <w:pPr>
              <w:spacing w:line="276" w:lineRule="auto"/>
              <w:jc w:val="center"/>
              <w:rPr>
                <w:rFonts w:eastAsia="Calibri"/>
                <w:b/>
                <w:sz w:val="24"/>
                <w:szCs w:val="24"/>
              </w:rPr>
            </w:pPr>
            <w:r w:rsidRPr="00EC208F">
              <w:rPr>
                <w:rFonts w:eastAsia="Calibri"/>
                <w:b/>
                <w:sz w:val="24"/>
                <w:szCs w:val="24"/>
              </w:rPr>
              <w:t>Class II</w:t>
            </w:r>
          </w:p>
        </w:tc>
        <w:tc>
          <w:tcPr>
            <w:tcW w:w="1984" w:type="dxa"/>
            <w:shd w:val="clear" w:color="auto" w:fill="auto"/>
            <w:hideMark/>
          </w:tcPr>
          <w:p w:rsidR="00B97176" w:rsidRPr="00EC208F" w:rsidRDefault="00B97176" w:rsidP="00C91EA0">
            <w:pPr>
              <w:spacing w:line="276" w:lineRule="auto"/>
              <w:jc w:val="center"/>
              <w:rPr>
                <w:rFonts w:eastAsia="Calibri"/>
                <w:sz w:val="24"/>
                <w:szCs w:val="24"/>
              </w:rPr>
            </w:pPr>
            <w:r w:rsidRPr="00EC208F">
              <w:rPr>
                <w:rFonts w:eastAsia="Calibri"/>
                <w:sz w:val="24"/>
                <w:szCs w:val="24"/>
              </w:rPr>
              <w:t>97 (38.34%)</w:t>
            </w:r>
          </w:p>
        </w:tc>
      </w:tr>
      <w:tr w:rsidR="00B97176" w:rsidRPr="00EC208F" w:rsidTr="00C91EA0">
        <w:trPr>
          <w:trHeight w:val="337"/>
          <w:jc w:val="center"/>
        </w:trPr>
        <w:tc>
          <w:tcPr>
            <w:tcW w:w="1843" w:type="dxa"/>
            <w:shd w:val="clear" w:color="auto" w:fill="auto"/>
            <w:hideMark/>
          </w:tcPr>
          <w:p w:rsidR="00B97176" w:rsidRPr="00EC208F" w:rsidRDefault="00B97176" w:rsidP="00C91EA0">
            <w:pPr>
              <w:spacing w:line="276" w:lineRule="auto"/>
              <w:jc w:val="center"/>
              <w:rPr>
                <w:rFonts w:eastAsia="Calibri"/>
                <w:b/>
                <w:sz w:val="24"/>
                <w:szCs w:val="24"/>
              </w:rPr>
            </w:pPr>
            <w:r w:rsidRPr="00EC208F">
              <w:rPr>
                <w:rFonts w:eastAsia="Calibri"/>
                <w:b/>
                <w:sz w:val="24"/>
                <w:szCs w:val="24"/>
              </w:rPr>
              <w:t>Class III</w:t>
            </w:r>
          </w:p>
        </w:tc>
        <w:tc>
          <w:tcPr>
            <w:tcW w:w="1984" w:type="dxa"/>
            <w:shd w:val="clear" w:color="auto" w:fill="auto"/>
            <w:hideMark/>
          </w:tcPr>
          <w:p w:rsidR="00B97176" w:rsidRPr="00EC208F" w:rsidRDefault="00B97176" w:rsidP="00C91EA0">
            <w:pPr>
              <w:spacing w:line="276" w:lineRule="auto"/>
              <w:jc w:val="center"/>
              <w:rPr>
                <w:rFonts w:eastAsia="Calibri"/>
                <w:sz w:val="24"/>
                <w:szCs w:val="24"/>
              </w:rPr>
            </w:pPr>
            <w:r w:rsidRPr="00EC208F">
              <w:rPr>
                <w:rFonts w:eastAsia="Calibri"/>
                <w:sz w:val="24"/>
                <w:szCs w:val="24"/>
              </w:rPr>
              <w:t>31 (12.25%)</w:t>
            </w:r>
          </w:p>
        </w:tc>
      </w:tr>
      <w:tr w:rsidR="00B97176" w:rsidRPr="00EC208F" w:rsidTr="00C91EA0">
        <w:trPr>
          <w:trHeight w:val="337"/>
          <w:jc w:val="center"/>
        </w:trPr>
        <w:tc>
          <w:tcPr>
            <w:tcW w:w="1843" w:type="dxa"/>
            <w:shd w:val="clear" w:color="auto" w:fill="auto"/>
            <w:hideMark/>
          </w:tcPr>
          <w:p w:rsidR="00B97176" w:rsidRPr="00EC208F" w:rsidRDefault="00B97176" w:rsidP="00C91EA0">
            <w:pPr>
              <w:jc w:val="center"/>
              <w:rPr>
                <w:rFonts w:eastAsia="Calibri"/>
                <w:b/>
                <w:sz w:val="24"/>
                <w:szCs w:val="24"/>
              </w:rPr>
            </w:pPr>
            <w:r w:rsidRPr="00EC208F">
              <w:rPr>
                <w:rFonts w:eastAsia="Calibri"/>
                <w:b/>
                <w:sz w:val="24"/>
                <w:szCs w:val="24"/>
              </w:rPr>
              <w:t>Overall</w:t>
            </w:r>
          </w:p>
        </w:tc>
        <w:tc>
          <w:tcPr>
            <w:tcW w:w="1984"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253 (100%)</w:t>
            </w:r>
          </w:p>
        </w:tc>
      </w:tr>
    </w:tbl>
    <w:p w:rsidR="00B97176" w:rsidRPr="00EC208F" w:rsidRDefault="00B97176" w:rsidP="00B97176">
      <w:pPr>
        <w:jc w:val="center"/>
        <w:rPr>
          <w:b/>
          <w:sz w:val="24"/>
          <w:szCs w:val="24"/>
        </w:rPr>
      </w:pPr>
    </w:p>
    <w:p w:rsidR="00B97176" w:rsidRPr="00EC208F" w:rsidRDefault="00B97176" w:rsidP="00B97176">
      <w:pPr>
        <w:jc w:val="center"/>
        <w:rPr>
          <w:b/>
          <w:sz w:val="24"/>
          <w:szCs w:val="24"/>
        </w:rPr>
      </w:pPr>
    </w:p>
    <w:p w:rsidR="00B97176" w:rsidRPr="00EC208F" w:rsidRDefault="00B97176" w:rsidP="00B97176">
      <w:pPr>
        <w:jc w:val="center"/>
        <w:rPr>
          <w:b/>
          <w:sz w:val="24"/>
          <w:szCs w:val="24"/>
        </w:rPr>
      </w:pPr>
      <w:r w:rsidRPr="00EC208F">
        <w:rPr>
          <w:b/>
          <w:sz w:val="24"/>
          <w:szCs w:val="24"/>
        </w:rPr>
        <w:t>Table No. 3: Distribution of study subjects according to Duration of Treatment</w:t>
      </w:r>
    </w:p>
    <w:p w:rsidR="00B97176" w:rsidRPr="00EC208F" w:rsidRDefault="00B97176" w:rsidP="00B97176">
      <w:pPr>
        <w:jc w:val="center"/>
        <w:rPr>
          <w:b/>
          <w:sz w:val="24"/>
          <w:szCs w:val="24"/>
        </w:rPr>
      </w:pPr>
    </w:p>
    <w:tbl>
      <w:tblPr>
        <w:tblW w:w="3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1854"/>
      </w:tblGrid>
      <w:tr w:rsidR="00B97176" w:rsidRPr="00EC208F" w:rsidTr="00C91EA0">
        <w:trPr>
          <w:trHeight w:val="864"/>
          <w:jc w:val="center"/>
        </w:trPr>
        <w:tc>
          <w:tcPr>
            <w:tcW w:w="1443" w:type="dxa"/>
            <w:shd w:val="clear" w:color="auto" w:fill="auto"/>
            <w:noWrap/>
            <w:hideMark/>
          </w:tcPr>
          <w:p w:rsidR="00B97176" w:rsidRPr="00EC208F" w:rsidRDefault="00B97176" w:rsidP="00C91EA0">
            <w:pPr>
              <w:jc w:val="center"/>
              <w:rPr>
                <w:rFonts w:eastAsia="Calibri"/>
                <w:b/>
                <w:bCs/>
                <w:sz w:val="24"/>
                <w:szCs w:val="24"/>
              </w:rPr>
            </w:pPr>
            <w:r w:rsidRPr="00EC208F">
              <w:rPr>
                <w:rFonts w:eastAsia="Calibri"/>
                <w:b/>
                <w:bCs/>
                <w:sz w:val="24"/>
                <w:szCs w:val="24"/>
              </w:rPr>
              <w:t>Treatment</w:t>
            </w:r>
          </w:p>
          <w:p w:rsidR="00B97176" w:rsidRPr="00EC208F" w:rsidRDefault="00B97176" w:rsidP="00C91EA0">
            <w:pPr>
              <w:jc w:val="center"/>
              <w:rPr>
                <w:rFonts w:eastAsia="Calibri"/>
                <w:b/>
                <w:bCs/>
                <w:sz w:val="24"/>
                <w:szCs w:val="24"/>
              </w:rPr>
            </w:pPr>
            <w:r w:rsidRPr="00EC208F">
              <w:rPr>
                <w:rFonts w:eastAsia="Calibri"/>
                <w:b/>
                <w:bCs/>
                <w:sz w:val="24"/>
                <w:szCs w:val="24"/>
              </w:rPr>
              <w:t>Duration Groups</w:t>
            </w:r>
          </w:p>
        </w:tc>
        <w:tc>
          <w:tcPr>
            <w:tcW w:w="1854"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N</w:t>
            </w:r>
          </w:p>
        </w:tc>
      </w:tr>
      <w:tr w:rsidR="00B97176" w:rsidRPr="00EC208F" w:rsidTr="00C91EA0">
        <w:trPr>
          <w:trHeight w:val="337"/>
          <w:jc w:val="center"/>
        </w:trPr>
        <w:tc>
          <w:tcPr>
            <w:tcW w:w="1443"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Group A</w:t>
            </w:r>
          </w:p>
        </w:tc>
        <w:tc>
          <w:tcPr>
            <w:tcW w:w="1854"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61 (24.11%)</w:t>
            </w:r>
          </w:p>
        </w:tc>
      </w:tr>
      <w:tr w:rsidR="00B97176" w:rsidRPr="00EC208F" w:rsidTr="00C91EA0">
        <w:trPr>
          <w:trHeight w:val="337"/>
          <w:jc w:val="center"/>
        </w:trPr>
        <w:tc>
          <w:tcPr>
            <w:tcW w:w="1443"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Group B</w:t>
            </w:r>
          </w:p>
        </w:tc>
        <w:tc>
          <w:tcPr>
            <w:tcW w:w="1854"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61 (24.11%)</w:t>
            </w:r>
          </w:p>
        </w:tc>
      </w:tr>
      <w:tr w:rsidR="00B97176" w:rsidRPr="00EC208F" w:rsidTr="00C91EA0">
        <w:trPr>
          <w:trHeight w:val="337"/>
          <w:jc w:val="center"/>
        </w:trPr>
        <w:tc>
          <w:tcPr>
            <w:tcW w:w="1443"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Group C</w:t>
            </w:r>
          </w:p>
        </w:tc>
        <w:tc>
          <w:tcPr>
            <w:tcW w:w="1854"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60 (23.72%)</w:t>
            </w:r>
          </w:p>
        </w:tc>
      </w:tr>
      <w:tr w:rsidR="00B97176" w:rsidRPr="00EC208F" w:rsidTr="00C91EA0">
        <w:trPr>
          <w:trHeight w:val="243"/>
          <w:jc w:val="center"/>
        </w:trPr>
        <w:tc>
          <w:tcPr>
            <w:tcW w:w="1443"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Group D</w:t>
            </w:r>
          </w:p>
        </w:tc>
        <w:tc>
          <w:tcPr>
            <w:tcW w:w="1854"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71 (28.06%)</w:t>
            </w:r>
          </w:p>
        </w:tc>
      </w:tr>
      <w:tr w:rsidR="00B97176" w:rsidRPr="00EC208F" w:rsidTr="00C91EA0">
        <w:trPr>
          <w:trHeight w:val="243"/>
          <w:jc w:val="center"/>
        </w:trPr>
        <w:tc>
          <w:tcPr>
            <w:tcW w:w="1443" w:type="dxa"/>
            <w:shd w:val="clear" w:color="auto" w:fill="auto"/>
          </w:tcPr>
          <w:p w:rsidR="00B97176" w:rsidRPr="00EC208F" w:rsidRDefault="00B97176" w:rsidP="00C91EA0">
            <w:pPr>
              <w:jc w:val="center"/>
              <w:rPr>
                <w:rFonts w:eastAsia="Calibri"/>
                <w:b/>
                <w:sz w:val="24"/>
                <w:szCs w:val="24"/>
              </w:rPr>
            </w:pPr>
            <w:r w:rsidRPr="00EC208F">
              <w:rPr>
                <w:rFonts w:eastAsia="Calibri"/>
                <w:b/>
                <w:sz w:val="24"/>
                <w:szCs w:val="24"/>
              </w:rPr>
              <w:t>Overall</w:t>
            </w:r>
          </w:p>
        </w:tc>
        <w:tc>
          <w:tcPr>
            <w:tcW w:w="1854" w:type="dxa"/>
            <w:shd w:val="clear" w:color="auto" w:fill="auto"/>
          </w:tcPr>
          <w:p w:rsidR="00B97176" w:rsidRPr="00EC208F" w:rsidRDefault="00B97176" w:rsidP="00C91EA0">
            <w:pPr>
              <w:jc w:val="center"/>
              <w:rPr>
                <w:rFonts w:eastAsia="Calibri"/>
                <w:sz w:val="24"/>
                <w:szCs w:val="24"/>
              </w:rPr>
            </w:pPr>
            <w:r w:rsidRPr="00EC208F">
              <w:rPr>
                <w:rFonts w:eastAsia="Calibri"/>
                <w:sz w:val="24"/>
                <w:szCs w:val="24"/>
              </w:rPr>
              <w:t>253 (100%)</w:t>
            </w:r>
          </w:p>
        </w:tc>
      </w:tr>
    </w:tbl>
    <w:p w:rsidR="00B97176" w:rsidRPr="00EC208F" w:rsidRDefault="00B97176" w:rsidP="00B97176">
      <w:pPr>
        <w:rPr>
          <w:sz w:val="24"/>
          <w:szCs w:val="24"/>
        </w:rPr>
      </w:pPr>
    </w:p>
    <w:p w:rsidR="00B97176" w:rsidRPr="00EC208F" w:rsidRDefault="00B97176" w:rsidP="00B97176">
      <w:pPr>
        <w:rPr>
          <w:sz w:val="24"/>
          <w:szCs w:val="24"/>
        </w:rPr>
      </w:pPr>
    </w:p>
    <w:p w:rsidR="00B97176" w:rsidRPr="00EC208F" w:rsidRDefault="00B97176" w:rsidP="00B97176">
      <w:pPr>
        <w:jc w:val="center"/>
        <w:rPr>
          <w:sz w:val="24"/>
          <w:szCs w:val="24"/>
        </w:rPr>
      </w:pPr>
      <w:r w:rsidRPr="00EC208F">
        <w:rPr>
          <w:b/>
          <w:sz w:val="24"/>
          <w:szCs w:val="24"/>
        </w:rPr>
        <w:t>Table No. 4: Distribution of DMFS and GI score according to Malocclusion</w:t>
      </w:r>
    </w:p>
    <w:tbl>
      <w:tblPr>
        <w:tblW w:w="6488"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850"/>
        <w:gridCol w:w="2003"/>
        <w:gridCol w:w="2126"/>
      </w:tblGrid>
      <w:tr w:rsidR="00B97176" w:rsidRPr="00EC208F" w:rsidTr="00C91EA0">
        <w:trPr>
          <w:trHeight w:val="980"/>
          <w:jc w:val="center"/>
        </w:trPr>
        <w:tc>
          <w:tcPr>
            <w:tcW w:w="1509" w:type="dxa"/>
            <w:shd w:val="clear" w:color="auto" w:fill="auto"/>
            <w:noWrap/>
            <w:hideMark/>
          </w:tcPr>
          <w:p w:rsidR="00B97176" w:rsidRPr="00EC208F" w:rsidRDefault="00B97176" w:rsidP="00C91EA0">
            <w:pPr>
              <w:spacing w:line="276" w:lineRule="auto"/>
              <w:jc w:val="center"/>
              <w:rPr>
                <w:rFonts w:eastAsia="Calibri"/>
                <w:b/>
                <w:bCs/>
                <w:sz w:val="24"/>
                <w:szCs w:val="24"/>
              </w:rPr>
            </w:pPr>
            <w:r w:rsidRPr="00EC208F">
              <w:rPr>
                <w:rFonts w:eastAsia="Calibri"/>
                <w:b/>
                <w:bCs/>
                <w:sz w:val="24"/>
                <w:szCs w:val="24"/>
              </w:rPr>
              <w:t>Type of Mal-occlusion</w:t>
            </w:r>
          </w:p>
        </w:tc>
        <w:tc>
          <w:tcPr>
            <w:tcW w:w="850" w:type="dxa"/>
            <w:shd w:val="clear" w:color="auto" w:fill="auto"/>
            <w:hideMark/>
          </w:tcPr>
          <w:p w:rsidR="00B97176" w:rsidRPr="00EC208F" w:rsidRDefault="00B97176" w:rsidP="00C91EA0">
            <w:pPr>
              <w:spacing w:line="276" w:lineRule="auto"/>
              <w:jc w:val="center"/>
              <w:rPr>
                <w:rFonts w:eastAsia="Calibri"/>
                <w:b/>
                <w:bCs/>
                <w:sz w:val="24"/>
                <w:szCs w:val="24"/>
              </w:rPr>
            </w:pPr>
            <w:r w:rsidRPr="00EC208F">
              <w:rPr>
                <w:rFonts w:eastAsia="Calibri"/>
                <w:b/>
                <w:bCs/>
                <w:sz w:val="24"/>
                <w:szCs w:val="24"/>
              </w:rPr>
              <w:t>N</w:t>
            </w:r>
          </w:p>
        </w:tc>
        <w:tc>
          <w:tcPr>
            <w:tcW w:w="2003" w:type="dxa"/>
            <w:shd w:val="clear" w:color="auto" w:fill="auto"/>
            <w:hideMark/>
          </w:tcPr>
          <w:p w:rsidR="00B97176" w:rsidRPr="00EC208F" w:rsidRDefault="00B97176" w:rsidP="00C91EA0">
            <w:pPr>
              <w:spacing w:line="360" w:lineRule="auto"/>
              <w:jc w:val="center"/>
              <w:rPr>
                <w:rFonts w:eastAsia="Calibri"/>
                <w:b/>
                <w:bCs/>
                <w:sz w:val="24"/>
                <w:szCs w:val="24"/>
              </w:rPr>
            </w:pPr>
            <w:r w:rsidRPr="00EC208F">
              <w:rPr>
                <w:rFonts w:eastAsia="Calibri"/>
                <w:b/>
                <w:bCs/>
                <w:sz w:val="24"/>
                <w:szCs w:val="24"/>
              </w:rPr>
              <w:t>DMFS</w:t>
            </w:r>
          </w:p>
          <w:p w:rsidR="00B97176" w:rsidRPr="00EC208F" w:rsidRDefault="00B97176" w:rsidP="00C91EA0">
            <w:pPr>
              <w:spacing w:line="276" w:lineRule="auto"/>
              <w:jc w:val="center"/>
              <w:rPr>
                <w:rFonts w:eastAsia="Calibri"/>
                <w:bCs/>
                <w:sz w:val="24"/>
                <w:szCs w:val="24"/>
              </w:rPr>
            </w:pPr>
            <w:r w:rsidRPr="00EC208F">
              <w:rPr>
                <w:rFonts w:eastAsia="Calibri"/>
                <w:bCs/>
                <w:sz w:val="24"/>
                <w:szCs w:val="24"/>
              </w:rPr>
              <w:t>(Mean ± SD)</w:t>
            </w:r>
          </w:p>
        </w:tc>
        <w:tc>
          <w:tcPr>
            <w:tcW w:w="2126" w:type="dxa"/>
            <w:shd w:val="clear" w:color="auto" w:fill="auto"/>
          </w:tcPr>
          <w:p w:rsidR="00B97176" w:rsidRPr="00EC208F" w:rsidRDefault="00B97176" w:rsidP="00C91EA0">
            <w:pPr>
              <w:spacing w:line="360" w:lineRule="auto"/>
              <w:jc w:val="center"/>
              <w:rPr>
                <w:rFonts w:eastAsia="Calibri"/>
                <w:b/>
                <w:bCs/>
                <w:sz w:val="24"/>
                <w:szCs w:val="24"/>
              </w:rPr>
            </w:pPr>
            <w:r w:rsidRPr="00EC208F">
              <w:rPr>
                <w:rFonts w:eastAsia="Calibri"/>
                <w:b/>
                <w:bCs/>
                <w:sz w:val="24"/>
                <w:szCs w:val="24"/>
              </w:rPr>
              <w:t>GI</w:t>
            </w:r>
          </w:p>
          <w:p w:rsidR="00B97176" w:rsidRPr="00EC208F" w:rsidRDefault="00B97176" w:rsidP="00C91EA0">
            <w:pPr>
              <w:jc w:val="center"/>
              <w:rPr>
                <w:rFonts w:eastAsia="Calibri"/>
                <w:b/>
                <w:bCs/>
                <w:sz w:val="24"/>
                <w:szCs w:val="24"/>
              </w:rPr>
            </w:pPr>
            <w:r w:rsidRPr="00EC208F">
              <w:rPr>
                <w:rFonts w:eastAsia="Calibri"/>
                <w:bCs/>
                <w:sz w:val="24"/>
                <w:szCs w:val="24"/>
              </w:rPr>
              <w:t>(Mean ± SD)</w:t>
            </w:r>
          </w:p>
        </w:tc>
      </w:tr>
      <w:tr w:rsidR="00B97176" w:rsidRPr="00EC208F" w:rsidTr="00C91EA0">
        <w:trPr>
          <w:trHeight w:val="337"/>
          <w:jc w:val="center"/>
        </w:trPr>
        <w:tc>
          <w:tcPr>
            <w:tcW w:w="1509" w:type="dxa"/>
            <w:shd w:val="clear" w:color="auto" w:fill="auto"/>
            <w:hideMark/>
          </w:tcPr>
          <w:p w:rsidR="00B97176" w:rsidRPr="00EC208F" w:rsidRDefault="00B97176" w:rsidP="00C91EA0">
            <w:pPr>
              <w:spacing w:line="276" w:lineRule="auto"/>
              <w:rPr>
                <w:rFonts w:eastAsia="Calibri"/>
                <w:b/>
                <w:sz w:val="24"/>
                <w:szCs w:val="24"/>
              </w:rPr>
            </w:pPr>
            <w:r w:rsidRPr="00EC208F">
              <w:rPr>
                <w:rFonts w:eastAsia="Calibri"/>
                <w:b/>
                <w:sz w:val="24"/>
                <w:szCs w:val="24"/>
              </w:rPr>
              <w:t>Class I</w:t>
            </w:r>
          </w:p>
        </w:tc>
        <w:tc>
          <w:tcPr>
            <w:tcW w:w="850" w:type="dxa"/>
            <w:shd w:val="clear" w:color="auto" w:fill="auto"/>
            <w:hideMark/>
          </w:tcPr>
          <w:p w:rsidR="00B97176" w:rsidRPr="00EC208F" w:rsidRDefault="00B97176" w:rsidP="00C91EA0">
            <w:pPr>
              <w:spacing w:line="276" w:lineRule="auto"/>
              <w:rPr>
                <w:rFonts w:eastAsia="Calibri"/>
                <w:sz w:val="24"/>
                <w:szCs w:val="24"/>
              </w:rPr>
            </w:pPr>
            <w:r w:rsidRPr="00EC208F">
              <w:rPr>
                <w:rFonts w:eastAsia="Calibri"/>
                <w:sz w:val="24"/>
                <w:szCs w:val="24"/>
              </w:rPr>
              <w:t>125</w:t>
            </w:r>
          </w:p>
        </w:tc>
        <w:tc>
          <w:tcPr>
            <w:tcW w:w="2003" w:type="dxa"/>
            <w:shd w:val="clear" w:color="auto" w:fill="auto"/>
            <w:hideMark/>
          </w:tcPr>
          <w:p w:rsidR="00B97176" w:rsidRPr="00EC208F" w:rsidRDefault="00B97176" w:rsidP="00C91EA0">
            <w:pPr>
              <w:spacing w:line="276" w:lineRule="auto"/>
              <w:rPr>
                <w:rFonts w:eastAsia="Calibri"/>
                <w:sz w:val="24"/>
                <w:szCs w:val="24"/>
              </w:rPr>
            </w:pPr>
            <w:r w:rsidRPr="00EC208F">
              <w:rPr>
                <w:rFonts w:eastAsia="Calibri"/>
                <w:sz w:val="24"/>
                <w:szCs w:val="24"/>
              </w:rPr>
              <w:t>4.41 ± 2.25</w:t>
            </w:r>
          </w:p>
        </w:tc>
        <w:tc>
          <w:tcPr>
            <w:tcW w:w="2126" w:type="dxa"/>
            <w:shd w:val="clear" w:color="auto" w:fill="auto"/>
          </w:tcPr>
          <w:p w:rsidR="00B97176" w:rsidRPr="00EC208F" w:rsidRDefault="00B97176" w:rsidP="00C91EA0">
            <w:pPr>
              <w:rPr>
                <w:rFonts w:eastAsia="Calibri"/>
                <w:b/>
                <w:bCs/>
                <w:sz w:val="24"/>
                <w:szCs w:val="24"/>
              </w:rPr>
            </w:pPr>
            <w:r w:rsidRPr="00EC208F">
              <w:rPr>
                <w:rFonts w:eastAsia="Calibri"/>
                <w:sz w:val="24"/>
                <w:szCs w:val="24"/>
              </w:rPr>
              <w:t>1.41 ± 0.37</w:t>
            </w:r>
          </w:p>
        </w:tc>
      </w:tr>
      <w:tr w:rsidR="00B97176" w:rsidRPr="00EC208F" w:rsidTr="00C91EA0">
        <w:trPr>
          <w:trHeight w:val="337"/>
          <w:jc w:val="center"/>
        </w:trPr>
        <w:tc>
          <w:tcPr>
            <w:tcW w:w="1509" w:type="dxa"/>
            <w:shd w:val="clear" w:color="auto" w:fill="auto"/>
            <w:hideMark/>
          </w:tcPr>
          <w:p w:rsidR="00B97176" w:rsidRPr="00EC208F" w:rsidRDefault="00B97176" w:rsidP="00C91EA0">
            <w:pPr>
              <w:spacing w:line="276" w:lineRule="auto"/>
              <w:rPr>
                <w:rFonts w:eastAsia="Calibri"/>
                <w:b/>
                <w:sz w:val="24"/>
                <w:szCs w:val="24"/>
              </w:rPr>
            </w:pPr>
            <w:r w:rsidRPr="00EC208F">
              <w:rPr>
                <w:rFonts w:eastAsia="Calibri"/>
                <w:b/>
                <w:sz w:val="24"/>
                <w:szCs w:val="24"/>
              </w:rPr>
              <w:t>Class II</w:t>
            </w:r>
          </w:p>
        </w:tc>
        <w:tc>
          <w:tcPr>
            <w:tcW w:w="850" w:type="dxa"/>
            <w:shd w:val="clear" w:color="auto" w:fill="auto"/>
            <w:hideMark/>
          </w:tcPr>
          <w:p w:rsidR="00B97176" w:rsidRPr="00EC208F" w:rsidRDefault="00B97176" w:rsidP="00C91EA0">
            <w:pPr>
              <w:spacing w:line="276" w:lineRule="auto"/>
              <w:rPr>
                <w:rFonts w:eastAsia="Calibri"/>
                <w:sz w:val="24"/>
                <w:szCs w:val="24"/>
              </w:rPr>
            </w:pPr>
            <w:r w:rsidRPr="00EC208F">
              <w:rPr>
                <w:rFonts w:eastAsia="Calibri"/>
                <w:sz w:val="24"/>
                <w:szCs w:val="24"/>
              </w:rPr>
              <w:t>97</w:t>
            </w:r>
          </w:p>
        </w:tc>
        <w:tc>
          <w:tcPr>
            <w:tcW w:w="2003" w:type="dxa"/>
            <w:shd w:val="clear" w:color="auto" w:fill="auto"/>
            <w:hideMark/>
          </w:tcPr>
          <w:p w:rsidR="00B97176" w:rsidRPr="00EC208F" w:rsidRDefault="00B97176" w:rsidP="00C91EA0">
            <w:pPr>
              <w:spacing w:line="276" w:lineRule="auto"/>
              <w:rPr>
                <w:rFonts w:eastAsia="Calibri"/>
                <w:sz w:val="24"/>
                <w:szCs w:val="24"/>
              </w:rPr>
            </w:pPr>
            <w:r w:rsidRPr="00EC208F">
              <w:rPr>
                <w:rFonts w:eastAsia="Calibri"/>
                <w:sz w:val="24"/>
                <w:szCs w:val="24"/>
              </w:rPr>
              <w:t>3.24 ± 2.34</w:t>
            </w:r>
          </w:p>
        </w:tc>
        <w:tc>
          <w:tcPr>
            <w:tcW w:w="2126" w:type="dxa"/>
            <w:shd w:val="clear" w:color="auto" w:fill="auto"/>
          </w:tcPr>
          <w:p w:rsidR="00B97176" w:rsidRPr="00EC208F" w:rsidRDefault="00B97176" w:rsidP="00C91EA0">
            <w:pPr>
              <w:rPr>
                <w:rFonts w:eastAsia="Calibri"/>
                <w:b/>
                <w:bCs/>
                <w:sz w:val="24"/>
                <w:szCs w:val="24"/>
              </w:rPr>
            </w:pPr>
            <w:r w:rsidRPr="00EC208F">
              <w:rPr>
                <w:rFonts w:eastAsia="Calibri"/>
                <w:sz w:val="24"/>
                <w:szCs w:val="24"/>
              </w:rPr>
              <w:t>1.25 ± 0.34</w:t>
            </w:r>
          </w:p>
        </w:tc>
      </w:tr>
      <w:tr w:rsidR="00B97176" w:rsidRPr="00EC208F" w:rsidTr="00C91EA0">
        <w:trPr>
          <w:trHeight w:val="337"/>
          <w:jc w:val="center"/>
        </w:trPr>
        <w:tc>
          <w:tcPr>
            <w:tcW w:w="1509" w:type="dxa"/>
            <w:shd w:val="clear" w:color="auto" w:fill="auto"/>
            <w:hideMark/>
          </w:tcPr>
          <w:p w:rsidR="00B97176" w:rsidRPr="00EC208F" w:rsidRDefault="00B97176" w:rsidP="00C91EA0">
            <w:pPr>
              <w:spacing w:line="276" w:lineRule="auto"/>
              <w:rPr>
                <w:rFonts w:eastAsia="Calibri"/>
                <w:b/>
                <w:sz w:val="24"/>
                <w:szCs w:val="24"/>
              </w:rPr>
            </w:pPr>
            <w:r w:rsidRPr="00EC208F">
              <w:rPr>
                <w:rFonts w:eastAsia="Calibri"/>
                <w:b/>
                <w:sz w:val="24"/>
                <w:szCs w:val="24"/>
              </w:rPr>
              <w:t>Class III</w:t>
            </w:r>
          </w:p>
        </w:tc>
        <w:tc>
          <w:tcPr>
            <w:tcW w:w="850" w:type="dxa"/>
            <w:shd w:val="clear" w:color="auto" w:fill="auto"/>
            <w:hideMark/>
          </w:tcPr>
          <w:p w:rsidR="00B97176" w:rsidRPr="00EC208F" w:rsidRDefault="00B97176" w:rsidP="00C91EA0">
            <w:pPr>
              <w:spacing w:line="276" w:lineRule="auto"/>
              <w:rPr>
                <w:rFonts w:eastAsia="Calibri"/>
                <w:sz w:val="24"/>
                <w:szCs w:val="24"/>
              </w:rPr>
            </w:pPr>
            <w:r w:rsidRPr="00EC208F">
              <w:rPr>
                <w:rFonts w:eastAsia="Calibri"/>
                <w:sz w:val="24"/>
                <w:szCs w:val="24"/>
              </w:rPr>
              <w:t>31</w:t>
            </w:r>
          </w:p>
        </w:tc>
        <w:tc>
          <w:tcPr>
            <w:tcW w:w="2003" w:type="dxa"/>
            <w:shd w:val="clear" w:color="auto" w:fill="auto"/>
            <w:hideMark/>
          </w:tcPr>
          <w:p w:rsidR="00B97176" w:rsidRPr="00EC208F" w:rsidRDefault="00B97176" w:rsidP="00C91EA0">
            <w:pPr>
              <w:spacing w:line="276" w:lineRule="auto"/>
              <w:rPr>
                <w:rFonts w:eastAsia="Calibri"/>
                <w:sz w:val="24"/>
                <w:szCs w:val="24"/>
              </w:rPr>
            </w:pPr>
            <w:r w:rsidRPr="00EC208F">
              <w:rPr>
                <w:rFonts w:eastAsia="Calibri"/>
                <w:sz w:val="24"/>
                <w:szCs w:val="24"/>
              </w:rPr>
              <w:t>3.71 ± 2.47</w:t>
            </w:r>
          </w:p>
        </w:tc>
        <w:tc>
          <w:tcPr>
            <w:tcW w:w="2126" w:type="dxa"/>
            <w:shd w:val="clear" w:color="auto" w:fill="auto"/>
          </w:tcPr>
          <w:p w:rsidR="00B97176" w:rsidRPr="00EC208F" w:rsidRDefault="00B97176" w:rsidP="00C91EA0">
            <w:pPr>
              <w:rPr>
                <w:rFonts w:eastAsia="Calibri"/>
                <w:sz w:val="24"/>
                <w:szCs w:val="24"/>
              </w:rPr>
            </w:pPr>
            <w:r w:rsidRPr="00EC208F">
              <w:rPr>
                <w:rFonts w:eastAsia="Calibri"/>
                <w:sz w:val="24"/>
                <w:szCs w:val="24"/>
              </w:rPr>
              <w:t>1.15 ± 0.33</w:t>
            </w:r>
          </w:p>
        </w:tc>
      </w:tr>
      <w:tr w:rsidR="00B97176" w:rsidRPr="00EC208F" w:rsidTr="00C91EA0">
        <w:trPr>
          <w:trHeight w:val="337"/>
          <w:jc w:val="center"/>
        </w:trPr>
        <w:tc>
          <w:tcPr>
            <w:tcW w:w="2359" w:type="dxa"/>
            <w:gridSpan w:val="2"/>
            <w:shd w:val="clear" w:color="auto" w:fill="auto"/>
          </w:tcPr>
          <w:p w:rsidR="00B97176" w:rsidRPr="00EC208F" w:rsidRDefault="00B97176" w:rsidP="00C91EA0">
            <w:pPr>
              <w:rPr>
                <w:rFonts w:eastAsia="Calibri"/>
                <w:sz w:val="24"/>
                <w:szCs w:val="24"/>
              </w:rPr>
            </w:pPr>
            <w:r w:rsidRPr="00EC208F">
              <w:rPr>
                <w:rFonts w:eastAsia="Calibri"/>
                <w:b/>
                <w:bCs/>
                <w:sz w:val="24"/>
                <w:szCs w:val="24"/>
              </w:rPr>
              <w:t>One Way ANOVA</w:t>
            </w:r>
          </w:p>
        </w:tc>
        <w:tc>
          <w:tcPr>
            <w:tcW w:w="2003" w:type="dxa"/>
            <w:shd w:val="clear" w:color="auto" w:fill="auto"/>
          </w:tcPr>
          <w:p w:rsidR="00B97176" w:rsidRPr="00EC208F" w:rsidRDefault="00B97176" w:rsidP="00C91EA0">
            <w:pPr>
              <w:rPr>
                <w:rFonts w:eastAsia="Calibri"/>
                <w:bCs/>
                <w:sz w:val="24"/>
                <w:szCs w:val="24"/>
              </w:rPr>
            </w:pPr>
            <w:r w:rsidRPr="00EC208F">
              <w:rPr>
                <w:rFonts w:eastAsia="Calibri"/>
                <w:b/>
                <w:bCs/>
                <w:sz w:val="24"/>
                <w:szCs w:val="24"/>
              </w:rPr>
              <w:t xml:space="preserve">F value = </w:t>
            </w:r>
            <w:r w:rsidRPr="00EC208F">
              <w:rPr>
                <w:rFonts w:eastAsia="Calibri"/>
                <w:bCs/>
                <w:sz w:val="24"/>
                <w:szCs w:val="24"/>
              </w:rPr>
              <w:t>7.09</w:t>
            </w:r>
          </w:p>
          <w:p w:rsidR="00B97176" w:rsidRPr="00EC208F" w:rsidRDefault="00B97176" w:rsidP="00C91EA0">
            <w:pPr>
              <w:rPr>
                <w:rFonts w:eastAsia="Calibri"/>
                <w:sz w:val="24"/>
                <w:szCs w:val="24"/>
              </w:rPr>
            </w:pPr>
            <w:r w:rsidRPr="00EC208F">
              <w:rPr>
                <w:rFonts w:eastAsia="Calibri"/>
                <w:b/>
                <w:bCs/>
                <w:sz w:val="24"/>
                <w:szCs w:val="24"/>
              </w:rPr>
              <w:t>p value =</w:t>
            </w:r>
            <w:r w:rsidRPr="00EC208F">
              <w:rPr>
                <w:rFonts w:eastAsia="Calibri"/>
                <w:sz w:val="24"/>
                <w:szCs w:val="24"/>
              </w:rPr>
              <w:t xml:space="preserve"> 0.001*</w:t>
            </w:r>
          </w:p>
        </w:tc>
        <w:tc>
          <w:tcPr>
            <w:tcW w:w="2126" w:type="dxa"/>
            <w:shd w:val="clear" w:color="auto" w:fill="auto"/>
          </w:tcPr>
          <w:p w:rsidR="00B97176" w:rsidRPr="00EC208F" w:rsidRDefault="00B97176" w:rsidP="00C91EA0">
            <w:pPr>
              <w:rPr>
                <w:rFonts w:eastAsia="Calibri"/>
                <w:bCs/>
                <w:sz w:val="24"/>
                <w:szCs w:val="24"/>
              </w:rPr>
            </w:pPr>
            <w:r w:rsidRPr="00EC208F">
              <w:rPr>
                <w:rFonts w:eastAsia="Calibri"/>
                <w:b/>
                <w:bCs/>
                <w:sz w:val="24"/>
                <w:szCs w:val="24"/>
              </w:rPr>
              <w:t xml:space="preserve">F value = </w:t>
            </w:r>
            <w:r w:rsidRPr="00EC208F">
              <w:rPr>
                <w:rFonts w:eastAsia="Calibri"/>
                <w:bCs/>
                <w:sz w:val="24"/>
                <w:szCs w:val="24"/>
              </w:rPr>
              <w:t>9.09</w:t>
            </w:r>
          </w:p>
          <w:p w:rsidR="00B97176" w:rsidRPr="00EC208F" w:rsidRDefault="00B97176" w:rsidP="00C91EA0">
            <w:pPr>
              <w:rPr>
                <w:rFonts w:eastAsia="Calibri"/>
                <w:sz w:val="24"/>
                <w:szCs w:val="24"/>
              </w:rPr>
            </w:pPr>
            <w:r w:rsidRPr="00EC208F">
              <w:rPr>
                <w:rFonts w:eastAsia="Calibri"/>
                <w:b/>
                <w:bCs/>
                <w:sz w:val="24"/>
                <w:szCs w:val="24"/>
              </w:rPr>
              <w:t>p value =</w:t>
            </w:r>
            <w:r w:rsidRPr="00EC208F">
              <w:rPr>
                <w:rFonts w:eastAsia="Calibri"/>
                <w:sz w:val="24"/>
                <w:szCs w:val="24"/>
              </w:rPr>
              <w:t xml:space="preserve"> 0.00**</w:t>
            </w:r>
          </w:p>
        </w:tc>
      </w:tr>
    </w:tbl>
    <w:p w:rsidR="00B97176" w:rsidRPr="00EC208F" w:rsidRDefault="00B97176" w:rsidP="00B97176">
      <w:pPr>
        <w:jc w:val="center"/>
        <w:rPr>
          <w:sz w:val="24"/>
          <w:szCs w:val="24"/>
        </w:rPr>
      </w:pPr>
      <w:r w:rsidRPr="00EC208F">
        <w:rPr>
          <w:sz w:val="24"/>
          <w:szCs w:val="24"/>
        </w:rPr>
        <w:t xml:space="preserve">* p &lt; 0.05, S </w:t>
      </w:r>
      <w:r w:rsidRPr="00EC208F">
        <w:rPr>
          <w:sz w:val="24"/>
          <w:szCs w:val="24"/>
        </w:rPr>
        <w:tab/>
      </w:r>
      <w:r w:rsidRPr="00EC208F">
        <w:rPr>
          <w:sz w:val="24"/>
          <w:szCs w:val="24"/>
        </w:rPr>
        <w:tab/>
      </w:r>
      <w:r w:rsidRPr="00EC208F">
        <w:rPr>
          <w:sz w:val="24"/>
          <w:szCs w:val="24"/>
        </w:rPr>
        <w:tab/>
        <w:t>** p &lt; 0.001, HS</w:t>
      </w:r>
    </w:p>
    <w:p w:rsidR="00B97176" w:rsidRPr="00EC208F" w:rsidRDefault="00B97176" w:rsidP="00B97176">
      <w:pPr>
        <w:jc w:val="center"/>
        <w:rPr>
          <w:b/>
          <w:sz w:val="24"/>
          <w:szCs w:val="24"/>
        </w:rPr>
      </w:pPr>
    </w:p>
    <w:p w:rsidR="00B97176" w:rsidRPr="00EC208F" w:rsidRDefault="00B97176" w:rsidP="00B97176">
      <w:pPr>
        <w:jc w:val="center"/>
        <w:rPr>
          <w:b/>
          <w:sz w:val="24"/>
          <w:szCs w:val="24"/>
        </w:rPr>
      </w:pPr>
    </w:p>
    <w:p w:rsidR="00B97176" w:rsidRPr="00EC208F" w:rsidRDefault="00B97176" w:rsidP="00B97176">
      <w:pPr>
        <w:jc w:val="center"/>
        <w:rPr>
          <w:b/>
          <w:sz w:val="24"/>
          <w:szCs w:val="24"/>
        </w:rPr>
      </w:pPr>
    </w:p>
    <w:p w:rsidR="00B97176" w:rsidRPr="00EC208F" w:rsidRDefault="00B97176" w:rsidP="00B97176">
      <w:pPr>
        <w:jc w:val="center"/>
        <w:rPr>
          <w:b/>
          <w:sz w:val="24"/>
          <w:szCs w:val="24"/>
        </w:rPr>
      </w:pPr>
      <w:r w:rsidRPr="00EC208F">
        <w:rPr>
          <w:b/>
          <w:sz w:val="24"/>
          <w:szCs w:val="24"/>
        </w:rPr>
        <w:lastRenderedPageBreak/>
        <w:t>Table No. 5: Distribution of DMFS and GI score according to Duration of Treatment</w:t>
      </w:r>
    </w:p>
    <w:tbl>
      <w:tblPr>
        <w:tblW w:w="680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851"/>
        <w:gridCol w:w="2101"/>
        <w:gridCol w:w="2410"/>
      </w:tblGrid>
      <w:tr w:rsidR="00B97176" w:rsidRPr="00EC208F" w:rsidTr="00C91EA0">
        <w:trPr>
          <w:trHeight w:val="980"/>
          <w:jc w:val="center"/>
        </w:trPr>
        <w:tc>
          <w:tcPr>
            <w:tcW w:w="1443" w:type="dxa"/>
            <w:shd w:val="clear" w:color="auto" w:fill="auto"/>
            <w:noWrap/>
            <w:hideMark/>
          </w:tcPr>
          <w:p w:rsidR="00B97176" w:rsidRPr="00EC208F" w:rsidRDefault="00B97176" w:rsidP="00C91EA0">
            <w:pPr>
              <w:jc w:val="center"/>
              <w:rPr>
                <w:rFonts w:eastAsia="Calibri"/>
                <w:b/>
                <w:bCs/>
                <w:sz w:val="24"/>
                <w:szCs w:val="24"/>
              </w:rPr>
            </w:pPr>
            <w:r w:rsidRPr="00EC208F">
              <w:rPr>
                <w:rFonts w:eastAsia="Calibri"/>
                <w:b/>
                <w:bCs/>
                <w:sz w:val="24"/>
                <w:szCs w:val="24"/>
              </w:rPr>
              <w:t>Treatment</w:t>
            </w:r>
          </w:p>
          <w:p w:rsidR="00B97176" w:rsidRPr="00EC208F" w:rsidRDefault="00B97176" w:rsidP="00C91EA0">
            <w:pPr>
              <w:jc w:val="center"/>
              <w:rPr>
                <w:rFonts w:eastAsia="Calibri"/>
                <w:b/>
                <w:bCs/>
                <w:sz w:val="24"/>
                <w:szCs w:val="24"/>
              </w:rPr>
            </w:pPr>
            <w:r w:rsidRPr="00EC208F">
              <w:rPr>
                <w:rFonts w:eastAsia="Calibri"/>
                <w:b/>
                <w:bCs/>
                <w:sz w:val="24"/>
                <w:szCs w:val="24"/>
              </w:rPr>
              <w:t>Duration Groups</w:t>
            </w:r>
          </w:p>
        </w:tc>
        <w:tc>
          <w:tcPr>
            <w:tcW w:w="851"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N</w:t>
            </w:r>
          </w:p>
        </w:tc>
        <w:tc>
          <w:tcPr>
            <w:tcW w:w="2101" w:type="dxa"/>
            <w:shd w:val="clear" w:color="auto" w:fill="auto"/>
            <w:hideMark/>
          </w:tcPr>
          <w:p w:rsidR="00B97176" w:rsidRPr="00EC208F" w:rsidRDefault="00B97176" w:rsidP="00C91EA0">
            <w:pPr>
              <w:spacing w:line="360" w:lineRule="auto"/>
              <w:jc w:val="center"/>
              <w:rPr>
                <w:rFonts w:eastAsia="Calibri"/>
                <w:b/>
                <w:bCs/>
                <w:sz w:val="24"/>
                <w:szCs w:val="24"/>
              </w:rPr>
            </w:pPr>
            <w:r w:rsidRPr="00EC208F">
              <w:rPr>
                <w:rFonts w:eastAsia="Calibri"/>
                <w:b/>
                <w:bCs/>
                <w:sz w:val="24"/>
                <w:szCs w:val="24"/>
              </w:rPr>
              <w:t>DMFS</w:t>
            </w:r>
          </w:p>
          <w:p w:rsidR="00B97176" w:rsidRPr="00EC208F" w:rsidRDefault="00B97176" w:rsidP="00C91EA0">
            <w:pPr>
              <w:jc w:val="center"/>
              <w:rPr>
                <w:rFonts w:eastAsia="Calibri"/>
                <w:bCs/>
                <w:sz w:val="24"/>
                <w:szCs w:val="24"/>
              </w:rPr>
            </w:pPr>
            <w:r w:rsidRPr="00EC208F">
              <w:rPr>
                <w:rFonts w:eastAsia="Calibri"/>
                <w:bCs/>
                <w:sz w:val="24"/>
                <w:szCs w:val="24"/>
              </w:rPr>
              <w:t xml:space="preserve"> (Mean ± SD)</w:t>
            </w:r>
          </w:p>
        </w:tc>
        <w:tc>
          <w:tcPr>
            <w:tcW w:w="2410" w:type="dxa"/>
            <w:shd w:val="clear" w:color="auto" w:fill="auto"/>
          </w:tcPr>
          <w:p w:rsidR="00B97176" w:rsidRPr="00EC208F" w:rsidRDefault="00B97176" w:rsidP="00C91EA0">
            <w:pPr>
              <w:spacing w:line="360" w:lineRule="auto"/>
              <w:jc w:val="center"/>
              <w:rPr>
                <w:rFonts w:eastAsia="Calibri"/>
                <w:b/>
                <w:bCs/>
                <w:sz w:val="24"/>
                <w:szCs w:val="24"/>
              </w:rPr>
            </w:pPr>
            <w:r w:rsidRPr="00EC208F">
              <w:rPr>
                <w:rFonts w:eastAsia="Calibri"/>
                <w:b/>
                <w:bCs/>
                <w:sz w:val="24"/>
                <w:szCs w:val="24"/>
              </w:rPr>
              <w:t>GI</w:t>
            </w:r>
          </w:p>
          <w:p w:rsidR="00B97176" w:rsidRPr="00EC208F" w:rsidRDefault="00B97176" w:rsidP="00C91EA0">
            <w:pPr>
              <w:jc w:val="center"/>
              <w:rPr>
                <w:rFonts w:eastAsia="Calibri"/>
                <w:b/>
                <w:bCs/>
                <w:sz w:val="24"/>
                <w:szCs w:val="24"/>
              </w:rPr>
            </w:pPr>
            <w:r w:rsidRPr="00EC208F">
              <w:rPr>
                <w:rFonts w:eastAsia="Calibri"/>
                <w:bCs/>
                <w:sz w:val="24"/>
                <w:szCs w:val="24"/>
              </w:rPr>
              <w:t>(Mean ± SD)</w:t>
            </w:r>
          </w:p>
        </w:tc>
      </w:tr>
      <w:tr w:rsidR="00B97176" w:rsidRPr="00EC208F" w:rsidTr="00C91EA0">
        <w:trPr>
          <w:trHeight w:val="337"/>
          <w:jc w:val="center"/>
        </w:trPr>
        <w:tc>
          <w:tcPr>
            <w:tcW w:w="1443"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Group A</w:t>
            </w:r>
          </w:p>
        </w:tc>
        <w:tc>
          <w:tcPr>
            <w:tcW w:w="851"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61</w:t>
            </w:r>
          </w:p>
        </w:tc>
        <w:tc>
          <w:tcPr>
            <w:tcW w:w="2101"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2.59 ± 1.38</w:t>
            </w:r>
          </w:p>
        </w:tc>
        <w:tc>
          <w:tcPr>
            <w:tcW w:w="2410" w:type="dxa"/>
            <w:shd w:val="clear" w:color="auto" w:fill="auto"/>
          </w:tcPr>
          <w:p w:rsidR="00B97176" w:rsidRPr="00EC208F" w:rsidRDefault="00B97176" w:rsidP="00C91EA0">
            <w:pPr>
              <w:jc w:val="center"/>
              <w:rPr>
                <w:rFonts w:eastAsia="Calibri"/>
                <w:b/>
                <w:bCs/>
                <w:sz w:val="24"/>
                <w:szCs w:val="24"/>
              </w:rPr>
            </w:pPr>
            <w:r w:rsidRPr="00EC208F">
              <w:rPr>
                <w:rFonts w:eastAsia="Calibri"/>
                <w:sz w:val="24"/>
                <w:szCs w:val="24"/>
              </w:rPr>
              <w:t>1.02 ± 0.19</w:t>
            </w:r>
          </w:p>
        </w:tc>
      </w:tr>
      <w:tr w:rsidR="00B97176" w:rsidRPr="00EC208F" w:rsidTr="00C91EA0">
        <w:trPr>
          <w:trHeight w:val="337"/>
          <w:jc w:val="center"/>
        </w:trPr>
        <w:tc>
          <w:tcPr>
            <w:tcW w:w="1443"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Group B</w:t>
            </w:r>
          </w:p>
        </w:tc>
        <w:tc>
          <w:tcPr>
            <w:tcW w:w="851"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61</w:t>
            </w:r>
          </w:p>
        </w:tc>
        <w:tc>
          <w:tcPr>
            <w:tcW w:w="2101"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3.66 ± 2.45</w:t>
            </w:r>
          </w:p>
        </w:tc>
        <w:tc>
          <w:tcPr>
            <w:tcW w:w="2410" w:type="dxa"/>
            <w:shd w:val="clear" w:color="auto" w:fill="auto"/>
          </w:tcPr>
          <w:p w:rsidR="00B97176" w:rsidRPr="00EC208F" w:rsidRDefault="00B97176" w:rsidP="00C91EA0">
            <w:pPr>
              <w:jc w:val="center"/>
              <w:rPr>
                <w:rFonts w:eastAsia="Calibri"/>
                <w:b/>
                <w:bCs/>
                <w:sz w:val="24"/>
                <w:szCs w:val="24"/>
              </w:rPr>
            </w:pPr>
            <w:r w:rsidRPr="00EC208F">
              <w:rPr>
                <w:rFonts w:eastAsia="Calibri"/>
                <w:sz w:val="24"/>
                <w:szCs w:val="24"/>
              </w:rPr>
              <w:t>1.14 ± 0.18</w:t>
            </w:r>
          </w:p>
        </w:tc>
      </w:tr>
      <w:tr w:rsidR="00B97176" w:rsidRPr="00EC208F" w:rsidTr="00C91EA0">
        <w:trPr>
          <w:trHeight w:val="337"/>
          <w:jc w:val="center"/>
        </w:trPr>
        <w:tc>
          <w:tcPr>
            <w:tcW w:w="1443"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Group C</w:t>
            </w:r>
          </w:p>
        </w:tc>
        <w:tc>
          <w:tcPr>
            <w:tcW w:w="851"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60</w:t>
            </w:r>
          </w:p>
        </w:tc>
        <w:tc>
          <w:tcPr>
            <w:tcW w:w="2101"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4.13 ± 2.32</w:t>
            </w:r>
          </w:p>
        </w:tc>
        <w:tc>
          <w:tcPr>
            <w:tcW w:w="2410" w:type="dxa"/>
            <w:shd w:val="clear" w:color="auto" w:fill="auto"/>
          </w:tcPr>
          <w:p w:rsidR="00B97176" w:rsidRPr="00EC208F" w:rsidRDefault="00B97176" w:rsidP="00C91EA0">
            <w:pPr>
              <w:jc w:val="center"/>
              <w:rPr>
                <w:rFonts w:eastAsia="Calibri"/>
                <w:sz w:val="24"/>
                <w:szCs w:val="24"/>
              </w:rPr>
            </w:pPr>
            <w:r w:rsidRPr="00EC208F">
              <w:rPr>
                <w:rFonts w:eastAsia="Calibri"/>
                <w:sz w:val="24"/>
                <w:szCs w:val="24"/>
              </w:rPr>
              <w:t>1.38 ± 0.28</w:t>
            </w:r>
          </w:p>
        </w:tc>
      </w:tr>
      <w:tr w:rsidR="00B97176" w:rsidRPr="00EC208F" w:rsidTr="00C91EA0">
        <w:trPr>
          <w:trHeight w:val="243"/>
          <w:jc w:val="center"/>
        </w:trPr>
        <w:tc>
          <w:tcPr>
            <w:tcW w:w="1443" w:type="dxa"/>
            <w:shd w:val="clear" w:color="auto" w:fill="auto"/>
            <w:hideMark/>
          </w:tcPr>
          <w:p w:rsidR="00B97176" w:rsidRPr="00EC208F" w:rsidRDefault="00B97176" w:rsidP="00C91EA0">
            <w:pPr>
              <w:jc w:val="center"/>
              <w:rPr>
                <w:rFonts w:eastAsia="Calibri"/>
                <w:b/>
                <w:bCs/>
                <w:sz w:val="24"/>
                <w:szCs w:val="24"/>
              </w:rPr>
            </w:pPr>
            <w:r w:rsidRPr="00EC208F">
              <w:rPr>
                <w:rFonts w:eastAsia="Calibri"/>
                <w:b/>
                <w:bCs/>
                <w:sz w:val="24"/>
                <w:szCs w:val="24"/>
              </w:rPr>
              <w:t>Group D</w:t>
            </w:r>
          </w:p>
        </w:tc>
        <w:tc>
          <w:tcPr>
            <w:tcW w:w="851"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71</w:t>
            </w:r>
          </w:p>
        </w:tc>
        <w:tc>
          <w:tcPr>
            <w:tcW w:w="2101" w:type="dxa"/>
            <w:shd w:val="clear" w:color="auto" w:fill="auto"/>
            <w:hideMark/>
          </w:tcPr>
          <w:p w:rsidR="00B97176" w:rsidRPr="00EC208F" w:rsidRDefault="00B97176" w:rsidP="00C91EA0">
            <w:pPr>
              <w:jc w:val="center"/>
              <w:rPr>
                <w:rFonts w:eastAsia="Calibri"/>
                <w:sz w:val="24"/>
                <w:szCs w:val="24"/>
              </w:rPr>
            </w:pPr>
            <w:r w:rsidRPr="00EC208F">
              <w:rPr>
                <w:rFonts w:eastAsia="Calibri"/>
                <w:sz w:val="24"/>
                <w:szCs w:val="24"/>
              </w:rPr>
              <w:t>4.94 ± 2.48</w:t>
            </w:r>
          </w:p>
        </w:tc>
        <w:tc>
          <w:tcPr>
            <w:tcW w:w="2410" w:type="dxa"/>
            <w:shd w:val="clear" w:color="auto" w:fill="auto"/>
          </w:tcPr>
          <w:p w:rsidR="00B97176" w:rsidRPr="00EC208F" w:rsidRDefault="00B97176" w:rsidP="00C91EA0">
            <w:pPr>
              <w:jc w:val="center"/>
              <w:rPr>
                <w:rFonts w:eastAsia="Calibri"/>
                <w:sz w:val="24"/>
                <w:szCs w:val="24"/>
              </w:rPr>
            </w:pPr>
            <w:r w:rsidRPr="00EC208F">
              <w:rPr>
                <w:rFonts w:eastAsia="Calibri"/>
                <w:sz w:val="24"/>
                <w:szCs w:val="24"/>
              </w:rPr>
              <w:t>1.68 ± 0.34</w:t>
            </w:r>
          </w:p>
        </w:tc>
      </w:tr>
      <w:tr w:rsidR="00B97176" w:rsidRPr="00EC208F" w:rsidTr="00C91EA0">
        <w:trPr>
          <w:trHeight w:val="243"/>
          <w:jc w:val="center"/>
        </w:trPr>
        <w:tc>
          <w:tcPr>
            <w:tcW w:w="2294" w:type="dxa"/>
            <w:gridSpan w:val="2"/>
            <w:shd w:val="clear" w:color="auto" w:fill="auto"/>
          </w:tcPr>
          <w:p w:rsidR="00B97176" w:rsidRPr="00EC208F" w:rsidRDefault="00B97176" w:rsidP="00C91EA0">
            <w:pPr>
              <w:jc w:val="center"/>
              <w:rPr>
                <w:rFonts w:eastAsia="Calibri"/>
                <w:sz w:val="24"/>
                <w:szCs w:val="24"/>
              </w:rPr>
            </w:pPr>
            <w:r w:rsidRPr="00EC208F">
              <w:rPr>
                <w:rFonts w:eastAsia="Calibri"/>
                <w:b/>
                <w:bCs/>
                <w:sz w:val="24"/>
                <w:szCs w:val="24"/>
              </w:rPr>
              <w:t>One Way ANOVA</w:t>
            </w:r>
          </w:p>
        </w:tc>
        <w:tc>
          <w:tcPr>
            <w:tcW w:w="2101" w:type="dxa"/>
            <w:shd w:val="clear" w:color="auto" w:fill="auto"/>
          </w:tcPr>
          <w:p w:rsidR="00B97176" w:rsidRPr="00EC208F" w:rsidRDefault="00B97176" w:rsidP="00C91EA0">
            <w:pPr>
              <w:jc w:val="center"/>
              <w:rPr>
                <w:rFonts w:eastAsia="Calibri"/>
                <w:bCs/>
                <w:sz w:val="24"/>
                <w:szCs w:val="24"/>
              </w:rPr>
            </w:pPr>
            <w:r w:rsidRPr="00EC208F">
              <w:rPr>
                <w:rFonts w:eastAsia="Calibri"/>
                <w:b/>
                <w:bCs/>
                <w:sz w:val="24"/>
                <w:szCs w:val="24"/>
              </w:rPr>
              <w:t xml:space="preserve">F value = </w:t>
            </w:r>
            <w:r w:rsidRPr="00EC208F">
              <w:rPr>
                <w:rFonts w:eastAsia="Calibri"/>
                <w:bCs/>
                <w:sz w:val="24"/>
                <w:szCs w:val="24"/>
              </w:rPr>
              <w:t>12.80</w:t>
            </w:r>
          </w:p>
          <w:p w:rsidR="00B97176" w:rsidRPr="00EC208F" w:rsidRDefault="00B97176" w:rsidP="00C91EA0">
            <w:pPr>
              <w:jc w:val="center"/>
              <w:rPr>
                <w:rFonts w:eastAsia="Calibri"/>
                <w:sz w:val="24"/>
                <w:szCs w:val="24"/>
              </w:rPr>
            </w:pPr>
            <w:r w:rsidRPr="00EC208F">
              <w:rPr>
                <w:rFonts w:eastAsia="Calibri"/>
                <w:b/>
                <w:bCs/>
                <w:sz w:val="24"/>
                <w:szCs w:val="24"/>
              </w:rPr>
              <w:t>p value =</w:t>
            </w:r>
            <w:r w:rsidRPr="00EC208F">
              <w:rPr>
                <w:rFonts w:eastAsia="Calibri"/>
                <w:sz w:val="24"/>
                <w:szCs w:val="24"/>
              </w:rPr>
              <w:t xml:space="preserve"> 0.00 **</w:t>
            </w:r>
          </w:p>
        </w:tc>
        <w:tc>
          <w:tcPr>
            <w:tcW w:w="2410" w:type="dxa"/>
            <w:shd w:val="clear" w:color="auto" w:fill="auto"/>
          </w:tcPr>
          <w:p w:rsidR="00B97176" w:rsidRPr="00EC208F" w:rsidRDefault="00B97176" w:rsidP="00C91EA0">
            <w:pPr>
              <w:jc w:val="center"/>
              <w:rPr>
                <w:rFonts w:eastAsia="Calibri"/>
                <w:bCs/>
                <w:sz w:val="24"/>
                <w:szCs w:val="24"/>
              </w:rPr>
            </w:pPr>
            <w:r w:rsidRPr="00EC208F">
              <w:rPr>
                <w:rFonts w:eastAsia="Calibri"/>
                <w:b/>
                <w:bCs/>
                <w:sz w:val="24"/>
                <w:szCs w:val="24"/>
              </w:rPr>
              <w:t xml:space="preserve">F value = </w:t>
            </w:r>
            <w:r w:rsidRPr="00EC208F">
              <w:rPr>
                <w:rFonts w:eastAsia="Calibri"/>
                <w:bCs/>
                <w:sz w:val="24"/>
                <w:szCs w:val="24"/>
              </w:rPr>
              <w:t>83.65</w:t>
            </w:r>
          </w:p>
          <w:p w:rsidR="00B97176" w:rsidRPr="00EC208F" w:rsidRDefault="00B97176" w:rsidP="00C91EA0">
            <w:pPr>
              <w:jc w:val="center"/>
              <w:rPr>
                <w:rFonts w:eastAsia="Calibri"/>
                <w:sz w:val="24"/>
                <w:szCs w:val="24"/>
              </w:rPr>
            </w:pPr>
            <w:r w:rsidRPr="00EC208F">
              <w:rPr>
                <w:rFonts w:eastAsia="Calibri"/>
                <w:b/>
                <w:bCs/>
                <w:sz w:val="24"/>
                <w:szCs w:val="24"/>
              </w:rPr>
              <w:t>p value =</w:t>
            </w:r>
            <w:r w:rsidRPr="00EC208F">
              <w:rPr>
                <w:rFonts w:eastAsia="Calibri"/>
                <w:sz w:val="24"/>
                <w:szCs w:val="24"/>
              </w:rPr>
              <w:t xml:space="preserve"> 0.00 **</w:t>
            </w:r>
          </w:p>
        </w:tc>
      </w:tr>
    </w:tbl>
    <w:p w:rsidR="00B97176" w:rsidRPr="00EC208F" w:rsidRDefault="00B97176" w:rsidP="00B97176">
      <w:pPr>
        <w:jc w:val="center"/>
        <w:rPr>
          <w:sz w:val="24"/>
          <w:szCs w:val="24"/>
        </w:rPr>
      </w:pPr>
    </w:p>
    <w:p w:rsidR="00B97176" w:rsidRPr="00EC208F" w:rsidRDefault="00B97176" w:rsidP="00B97176">
      <w:pPr>
        <w:jc w:val="center"/>
        <w:rPr>
          <w:sz w:val="24"/>
          <w:szCs w:val="24"/>
        </w:rPr>
      </w:pPr>
      <w:r w:rsidRPr="00EC208F">
        <w:rPr>
          <w:sz w:val="24"/>
          <w:szCs w:val="24"/>
        </w:rPr>
        <w:t>** p &lt; 0.001, HS</w:t>
      </w:r>
    </w:p>
    <w:p w:rsidR="003A7AC7" w:rsidRPr="00EC208F" w:rsidRDefault="003A7AC7" w:rsidP="003A7AC7">
      <w:pPr>
        <w:spacing w:line="360" w:lineRule="auto"/>
        <w:rPr>
          <w:color w:val="000000" w:themeColor="text1"/>
          <w:sz w:val="24"/>
          <w:szCs w:val="24"/>
        </w:rPr>
      </w:pPr>
    </w:p>
    <w:p w:rsidR="00A77758" w:rsidRPr="00EC208F" w:rsidRDefault="00B12ADC" w:rsidP="00B12ADC">
      <w:pPr>
        <w:pStyle w:val="ListParagraph"/>
        <w:spacing w:after="0" w:line="360" w:lineRule="auto"/>
        <w:ind w:left="0"/>
        <w:jc w:val="both"/>
        <w:rPr>
          <w:rFonts w:ascii="Times New Roman" w:hAnsi="Times New Roman" w:cs="Times New Roman"/>
          <w:color w:val="000000" w:themeColor="text1"/>
          <w:sz w:val="24"/>
          <w:szCs w:val="24"/>
        </w:rPr>
      </w:pPr>
      <w:r w:rsidRPr="00EC208F">
        <w:rPr>
          <w:rFonts w:ascii="Times New Roman" w:hAnsi="Times New Roman" w:cs="Times New Roman"/>
          <w:color w:val="000000" w:themeColor="text1"/>
          <w:sz w:val="24"/>
          <w:szCs w:val="24"/>
        </w:rPr>
        <w:t xml:space="preserve"> </w:t>
      </w:r>
    </w:p>
    <w:p w:rsidR="003A7AC7" w:rsidRPr="00EC208F" w:rsidRDefault="003A7AC7" w:rsidP="003A7AC7">
      <w:pPr>
        <w:spacing w:line="360" w:lineRule="auto"/>
        <w:rPr>
          <w:color w:val="000000" w:themeColor="text1"/>
          <w:sz w:val="24"/>
          <w:szCs w:val="24"/>
        </w:rPr>
      </w:pPr>
    </w:p>
    <w:sectPr w:rsidR="003A7AC7" w:rsidRPr="00EC208F" w:rsidSect="00E3514D">
      <w:pgSz w:w="11906" w:h="16838" w:code="9"/>
      <w:pgMar w:top="1440" w:right="1418" w:bottom="1440" w:left="1418"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D1C11"/>
    <w:multiLevelType w:val="hybridMultilevel"/>
    <w:tmpl w:val="D1A8C3BA"/>
    <w:lvl w:ilvl="0" w:tplc="4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0796B"/>
    <w:multiLevelType w:val="hybridMultilevel"/>
    <w:tmpl w:val="439E7A30"/>
    <w:lvl w:ilvl="0" w:tplc="4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E2EEF"/>
    <w:multiLevelType w:val="hybridMultilevel"/>
    <w:tmpl w:val="16621B30"/>
    <w:lvl w:ilvl="0" w:tplc="B4E66B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93945"/>
    <w:multiLevelType w:val="hybridMultilevel"/>
    <w:tmpl w:val="9FEC8D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710A5ECF"/>
    <w:multiLevelType w:val="hybridMultilevel"/>
    <w:tmpl w:val="E9842B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033606"/>
    <w:rsid w:val="000C5C45"/>
    <w:rsid w:val="00170BDD"/>
    <w:rsid w:val="00172A27"/>
    <w:rsid w:val="00206EAC"/>
    <w:rsid w:val="002169F6"/>
    <w:rsid w:val="00244586"/>
    <w:rsid w:val="002448F8"/>
    <w:rsid w:val="002B507D"/>
    <w:rsid w:val="002D1B22"/>
    <w:rsid w:val="00307C48"/>
    <w:rsid w:val="003131EB"/>
    <w:rsid w:val="00321A58"/>
    <w:rsid w:val="00352CCD"/>
    <w:rsid w:val="00366EFA"/>
    <w:rsid w:val="003A7AC7"/>
    <w:rsid w:val="003B6DEB"/>
    <w:rsid w:val="003C6971"/>
    <w:rsid w:val="003E28B9"/>
    <w:rsid w:val="00402645"/>
    <w:rsid w:val="00434DB2"/>
    <w:rsid w:val="00512AA9"/>
    <w:rsid w:val="005177CF"/>
    <w:rsid w:val="00541BC8"/>
    <w:rsid w:val="00556B84"/>
    <w:rsid w:val="005B3BB0"/>
    <w:rsid w:val="005C2C32"/>
    <w:rsid w:val="00613A69"/>
    <w:rsid w:val="00651E43"/>
    <w:rsid w:val="007C082E"/>
    <w:rsid w:val="007E40B4"/>
    <w:rsid w:val="007F5013"/>
    <w:rsid w:val="008A3178"/>
    <w:rsid w:val="008A40A5"/>
    <w:rsid w:val="008E04FB"/>
    <w:rsid w:val="008E165E"/>
    <w:rsid w:val="00935D80"/>
    <w:rsid w:val="009406AB"/>
    <w:rsid w:val="00941536"/>
    <w:rsid w:val="00942326"/>
    <w:rsid w:val="00964384"/>
    <w:rsid w:val="009732ED"/>
    <w:rsid w:val="00985970"/>
    <w:rsid w:val="009D2228"/>
    <w:rsid w:val="009F0360"/>
    <w:rsid w:val="00A062DE"/>
    <w:rsid w:val="00A2235B"/>
    <w:rsid w:val="00A732BC"/>
    <w:rsid w:val="00A77758"/>
    <w:rsid w:val="00A95C44"/>
    <w:rsid w:val="00B12ADC"/>
    <w:rsid w:val="00B422C8"/>
    <w:rsid w:val="00B54735"/>
    <w:rsid w:val="00B97176"/>
    <w:rsid w:val="00BD7552"/>
    <w:rsid w:val="00BE55AA"/>
    <w:rsid w:val="00C0717C"/>
    <w:rsid w:val="00CE033F"/>
    <w:rsid w:val="00D01097"/>
    <w:rsid w:val="00D01563"/>
    <w:rsid w:val="00D14A73"/>
    <w:rsid w:val="00D23C71"/>
    <w:rsid w:val="00D57757"/>
    <w:rsid w:val="00D64030"/>
    <w:rsid w:val="00D64D7B"/>
    <w:rsid w:val="00D65484"/>
    <w:rsid w:val="00E20607"/>
    <w:rsid w:val="00E27340"/>
    <w:rsid w:val="00E3514D"/>
    <w:rsid w:val="00E41890"/>
    <w:rsid w:val="00E60843"/>
    <w:rsid w:val="00E637D4"/>
    <w:rsid w:val="00EC208F"/>
    <w:rsid w:val="00F30BD7"/>
    <w:rsid w:val="00F4513A"/>
    <w:rsid w:val="00F607C4"/>
    <w:rsid w:val="00F94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2BC"/>
    <w:pPr>
      <w:widowControl w:val="0"/>
      <w:jc w:val="both"/>
    </w:pPr>
    <w:rPr>
      <w:kern w:val="2"/>
      <w:sz w:val="21"/>
      <w:lang w:eastAsia="zh-CN"/>
    </w:rPr>
  </w:style>
  <w:style w:type="paragraph" w:styleId="Heading1">
    <w:name w:val="heading 1"/>
    <w:basedOn w:val="Normal"/>
    <w:link w:val="Heading1Char"/>
    <w:uiPriority w:val="9"/>
    <w:qFormat/>
    <w:rsid w:val="005177CF"/>
    <w:pPr>
      <w:widowControl/>
      <w:spacing w:before="100" w:beforeAutospacing="1" w:after="100" w:afterAutospacing="1"/>
      <w:jc w:val="left"/>
      <w:outlineLvl w:val="0"/>
    </w:pPr>
    <w:rPr>
      <w:rFonts w:eastAsia="Times New Roman"/>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4D"/>
    <w:pPr>
      <w:widowControl/>
      <w:spacing w:after="200" w:line="276" w:lineRule="auto"/>
      <w:ind w:left="720"/>
      <w:contextualSpacing/>
      <w:jc w:val="left"/>
    </w:pPr>
    <w:rPr>
      <w:rFonts w:ascii="Calibri" w:eastAsia="Calibri" w:hAnsi="Calibri" w:cs="Mangal"/>
      <w:kern w:val="0"/>
      <w:sz w:val="22"/>
      <w:szCs w:val="22"/>
      <w:lang w:eastAsia="en-US"/>
    </w:rPr>
  </w:style>
  <w:style w:type="table" w:styleId="TableGrid">
    <w:name w:val="Table Grid"/>
    <w:basedOn w:val="TableNormal"/>
    <w:uiPriority w:val="59"/>
    <w:rsid w:val="00A77758"/>
    <w:rPr>
      <w:rFonts w:ascii="Calibri" w:eastAsia="Calibri" w:hAnsi="Calibri"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34DB2"/>
  </w:style>
  <w:style w:type="paragraph" w:styleId="z-TopofForm">
    <w:name w:val="HTML Top of Form"/>
    <w:basedOn w:val="Normal"/>
    <w:next w:val="Normal"/>
    <w:link w:val="z-TopofFormChar"/>
    <w:hidden/>
    <w:uiPriority w:val="99"/>
    <w:semiHidden/>
    <w:unhideWhenUsed/>
    <w:rsid w:val="005177CF"/>
    <w:pPr>
      <w:widowControl/>
      <w:pBdr>
        <w:bottom w:val="single" w:sz="6" w:space="1" w:color="auto"/>
      </w:pBdr>
      <w:jc w:val="center"/>
    </w:pPr>
    <w:rPr>
      <w:rFonts w:ascii="Arial" w:eastAsia="Times New Roman" w:hAnsi="Arial" w:cs="Arial"/>
      <w:vanish/>
      <w:kern w:val="0"/>
      <w:sz w:val="16"/>
      <w:szCs w:val="16"/>
      <w:lang w:val="en-IN" w:eastAsia="en-IN"/>
    </w:rPr>
  </w:style>
  <w:style w:type="character" w:customStyle="1" w:styleId="z-TopofFormChar">
    <w:name w:val="z-Top of Form Char"/>
    <w:basedOn w:val="DefaultParagraphFont"/>
    <w:link w:val="z-TopofForm"/>
    <w:uiPriority w:val="99"/>
    <w:semiHidden/>
    <w:rsid w:val="005177CF"/>
    <w:rPr>
      <w:rFonts w:ascii="Arial" w:eastAsia="Times New Roman" w:hAnsi="Arial" w:cs="Arial"/>
      <w:vanish/>
      <w:sz w:val="16"/>
      <w:szCs w:val="16"/>
      <w:lang w:val="en-IN" w:eastAsia="en-IN"/>
    </w:rPr>
  </w:style>
  <w:style w:type="character" w:styleId="Hyperlink">
    <w:name w:val="Hyperlink"/>
    <w:basedOn w:val="DefaultParagraphFont"/>
    <w:uiPriority w:val="99"/>
    <w:semiHidden/>
    <w:unhideWhenUsed/>
    <w:rsid w:val="005177CF"/>
    <w:rPr>
      <w:color w:val="0000FF"/>
      <w:u w:val="single"/>
    </w:rPr>
  </w:style>
  <w:style w:type="paragraph" w:styleId="z-BottomofForm">
    <w:name w:val="HTML Bottom of Form"/>
    <w:basedOn w:val="Normal"/>
    <w:next w:val="Normal"/>
    <w:link w:val="z-BottomofFormChar"/>
    <w:hidden/>
    <w:uiPriority w:val="99"/>
    <w:semiHidden/>
    <w:unhideWhenUsed/>
    <w:rsid w:val="005177CF"/>
    <w:pPr>
      <w:widowControl/>
      <w:pBdr>
        <w:top w:val="single" w:sz="6" w:space="1" w:color="auto"/>
      </w:pBdr>
      <w:jc w:val="center"/>
    </w:pPr>
    <w:rPr>
      <w:rFonts w:ascii="Arial" w:eastAsia="Times New Roman" w:hAnsi="Arial" w:cs="Arial"/>
      <w:vanish/>
      <w:kern w:val="0"/>
      <w:sz w:val="16"/>
      <w:szCs w:val="16"/>
      <w:lang w:val="en-IN" w:eastAsia="en-IN"/>
    </w:rPr>
  </w:style>
  <w:style w:type="character" w:customStyle="1" w:styleId="z-BottomofFormChar">
    <w:name w:val="z-Bottom of Form Char"/>
    <w:basedOn w:val="DefaultParagraphFont"/>
    <w:link w:val="z-BottomofForm"/>
    <w:uiPriority w:val="99"/>
    <w:semiHidden/>
    <w:rsid w:val="005177CF"/>
    <w:rPr>
      <w:rFonts w:ascii="Arial" w:eastAsia="Times New Roman" w:hAnsi="Arial" w:cs="Arial"/>
      <w:vanish/>
      <w:sz w:val="16"/>
      <w:szCs w:val="16"/>
      <w:lang w:val="en-IN" w:eastAsia="en-IN"/>
    </w:rPr>
  </w:style>
  <w:style w:type="character" w:customStyle="1" w:styleId="Heading1Char">
    <w:name w:val="Heading 1 Char"/>
    <w:basedOn w:val="DefaultParagraphFont"/>
    <w:link w:val="Heading1"/>
    <w:uiPriority w:val="9"/>
    <w:rsid w:val="005177CF"/>
    <w:rPr>
      <w:rFonts w:eastAsia="Times New Roman"/>
      <w:b/>
      <w:bCs/>
      <w:kern w:val="36"/>
      <w:sz w:val="48"/>
      <w:szCs w:val="48"/>
      <w:lang w:val="en-IN" w:eastAsia="en-IN"/>
    </w:rPr>
  </w:style>
</w:styles>
</file>

<file path=word/webSettings.xml><?xml version="1.0" encoding="utf-8"?>
<w:webSettings xmlns:r="http://schemas.openxmlformats.org/officeDocument/2006/relationships" xmlns:w="http://schemas.openxmlformats.org/wordprocessingml/2006/main">
  <w:divs>
    <w:div w:id="189028061">
      <w:bodyDiv w:val="1"/>
      <w:marLeft w:val="0"/>
      <w:marRight w:val="0"/>
      <w:marTop w:val="0"/>
      <w:marBottom w:val="0"/>
      <w:divBdr>
        <w:top w:val="none" w:sz="0" w:space="0" w:color="auto"/>
        <w:left w:val="none" w:sz="0" w:space="0" w:color="auto"/>
        <w:bottom w:val="none" w:sz="0" w:space="0" w:color="auto"/>
        <w:right w:val="none" w:sz="0" w:space="0" w:color="auto"/>
      </w:divBdr>
      <w:divsChild>
        <w:div w:id="363140461">
          <w:marLeft w:val="0"/>
          <w:marRight w:val="1"/>
          <w:marTop w:val="0"/>
          <w:marBottom w:val="0"/>
          <w:divBdr>
            <w:top w:val="none" w:sz="0" w:space="0" w:color="auto"/>
            <w:left w:val="none" w:sz="0" w:space="0" w:color="auto"/>
            <w:bottom w:val="none" w:sz="0" w:space="0" w:color="auto"/>
            <w:right w:val="none" w:sz="0" w:space="0" w:color="auto"/>
          </w:divBdr>
          <w:divsChild>
            <w:div w:id="309022029">
              <w:marLeft w:val="0"/>
              <w:marRight w:val="0"/>
              <w:marTop w:val="0"/>
              <w:marBottom w:val="0"/>
              <w:divBdr>
                <w:top w:val="none" w:sz="0" w:space="0" w:color="auto"/>
                <w:left w:val="none" w:sz="0" w:space="0" w:color="auto"/>
                <w:bottom w:val="none" w:sz="0" w:space="0" w:color="auto"/>
                <w:right w:val="none" w:sz="0" w:space="0" w:color="auto"/>
              </w:divBdr>
              <w:divsChild>
                <w:div w:id="906038577">
                  <w:marLeft w:val="0"/>
                  <w:marRight w:val="1"/>
                  <w:marTop w:val="0"/>
                  <w:marBottom w:val="0"/>
                  <w:divBdr>
                    <w:top w:val="none" w:sz="0" w:space="0" w:color="auto"/>
                    <w:left w:val="none" w:sz="0" w:space="0" w:color="auto"/>
                    <w:bottom w:val="none" w:sz="0" w:space="0" w:color="auto"/>
                    <w:right w:val="none" w:sz="0" w:space="0" w:color="auto"/>
                  </w:divBdr>
                  <w:divsChild>
                    <w:div w:id="824472839">
                      <w:marLeft w:val="0"/>
                      <w:marRight w:val="0"/>
                      <w:marTop w:val="0"/>
                      <w:marBottom w:val="0"/>
                      <w:divBdr>
                        <w:top w:val="none" w:sz="0" w:space="0" w:color="auto"/>
                        <w:left w:val="none" w:sz="0" w:space="0" w:color="auto"/>
                        <w:bottom w:val="none" w:sz="0" w:space="0" w:color="auto"/>
                        <w:right w:val="none" w:sz="0" w:space="0" w:color="auto"/>
                      </w:divBdr>
                      <w:divsChild>
                        <w:div w:id="1500147394">
                          <w:marLeft w:val="0"/>
                          <w:marRight w:val="0"/>
                          <w:marTop w:val="0"/>
                          <w:marBottom w:val="0"/>
                          <w:divBdr>
                            <w:top w:val="none" w:sz="0" w:space="0" w:color="auto"/>
                            <w:left w:val="none" w:sz="0" w:space="0" w:color="auto"/>
                            <w:bottom w:val="none" w:sz="0" w:space="0" w:color="auto"/>
                            <w:right w:val="none" w:sz="0" w:space="0" w:color="auto"/>
                          </w:divBdr>
                          <w:divsChild>
                            <w:div w:id="1648784648">
                              <w:marLeft w:val="0"/>
                              <w:marRight w:val="0"/>
                              <w:marTop w:val="120"/>
                              <w:marBottom w:val="360"/>
                              <w:divBdr>
                                <w:top w:val="none" w:sz="0" w:space="0" w:color="auto"/>
                                <w:left w:val="none" w:sz="0" w:space="0" w:color="auto"/>
                                <w:bottom w:val="none" w:sz="0" w:space="0" w:color="auto"/>
                                <w:right w:val="none" w:sz="0" w:space="0" w:color="auto"/>
                              </w:divBdr>
                              <w:divsChild>
                                <w:div w:id="20919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184496">
      <w:bodyDiv w:val="1"/>
      <w:marLeft w:val="0"/>
      <w:marRight w:val="0"/>
      <w:marTop w:val="0"/>
      <w:marBottom w:val="0"/>
      <w:divBdr>
        <w:top w:val="none" w:sz="0" w:space="0" w:color="auto"/>
        <w:left w:val="none" w:sz="0" w:space="0" w:color="auto"/>
        <w:bottom w:val="none" w:sz="0" w:space="0" w:color="auto"/>
        <w:right w:val="none" w:sz="0" w:space="0" w:color="auto"/>
      </w:divBdr>
      <w:divsChild>
        <w:div w:id="403770249">
          <w:marLeft w:val="0"/>
          <w:marRight w:val="1"/>
          <w:marTop w:val="0"/>
          <w:marBottom w:val="0"/>
          <w:divBdr>
            <w:top w:val="none" w:sz="0" w:space="0" w:color="auto"/>
            <w:left w:val="none" w:sz="0" w:space="0" w:color="auto"/>
            <w:bottom w:val="none" w:sz="0" w:space="0" w:color="auto"/>
            <w:right w:val="none" w:sz="0" w:space="0" w:color="auto"/>
          </w:divBdr>
          <w:divsChild>
            <w:div w:id="425737184">
              <w:marLeft w:val="0"/>
              <w:marRight w:val="0"/>
              <w:marTop w:val="0"/>
              <w:marBottom w:val="0"/>
              <w:divBdr>
                <w:top w:val="none" w:sz="0" w:space="0" w:color="auto"/>
                <w:left w:val="none" w:sz="0" w:space="0" w:color="auto"/>
                <w:bottom w:val="none" w:sz="0" w:space="0" w:color="auto"/>
                <w:right w:val="none" w:sz="0" w:space="0" w:color="auto"/>
              </w:divBdr>
              <w:divsChild>
                <w:div w:id="1433814712">
                  <w:marLeft w:val="0"/>
                  <w:marRight w:val="1"/>
                  <w:marTop w:val="0"/>
                  <w:marBottom w:val="0"/>
                  <w:divBdr>
                    <w:top w:val="none" w:sz="0" w:space="0" w:color="auto"/>
                    <w:left w:val="none" w:sz="0" w:space="0" w:color="auto"/>
                    <w:bottom w:val="none" w:sz="0" w:space="0" w:color="auto"/>
                    <w:right w:val="none" w:sz="0" w:space="0" w:color="auto"/>
                  </w:divBdr>
                  <w:divsChild>
                    <w:div w:id="746732477">
                      <w:marLeft w:val="0"/>
                      <w:marRight w:val="0"/>
                      <w:marTop w:val="0"/>
                      <w:marBottom w:val="0"/>
                      <w:divBdr>
                        <w:top w:val="none" w:sz="0" w:space="0" w:color="auto"/>
                        <w:left w:val="none" w:sz="0" w:space="0" w:color="auto"/>
                        <w:bottom w:val="none" w:sz="0" w:space="0" w:color="auto"/>
                        <w:right w:val="none" w:sz="0" w:space="0" w:color="auto"/>
                      </w:divBdr>
                      <w:divsChild>
                        <w:div w:id="894900937">
                          <w:marLeft w:val="0"/>
                          <w:marRight w:val="0"/>
                          <w:marTop w:val="0"/>
                          <w:marBottom w:val="0"/>
                          <w:divBdr>
                            <w:top w:val="none" w:sz="0" w:space="0" w:color="auto"/>
                            <w:left w:val="none" w:sz="0" w:space="0" w:color="auto"/>
                            <w:bottom w:val="none" w:sz="0" w:space="0" w:color="auto"/>
                            <w:right w:val="none" w:sz="0" w:space="0" w:color="auto"/>
                          </w:divBdr>
                          <w:divsChild>
                            <w:div w:id="1523787943">
                              <w:marLeft w:val="0"/>
                              <w:marRight w:val="0"/>
                              <w:marTop w:val="120"/>
                              <w:marBottom w:val="360"/>
                              <w:divBdr>
                                <w:top w:val="none" w:sz="0" w:space="0" w:color="auto"/>
                                <w:left w:val="none" w:sz="0" w:space="0" w:color="auto"/>
                                <w:bottom w:val="none" w:sz="0" w:space="0" w:color="auto"/>
                                <w:right w:val="none" w:sz="0" w:space="0" w:color="auto"/>
                              </w:divBdr>
                              <w:divsChild>
                                <w:div w:id="5846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2605">
      <w:bodyDiv w:val="1"/>
      <w:marLeft w:val="0"/>
      <w:marRight w:val="0"/>
      <w:marTop w:val="0"/>
      <w:marBottom w:val="0"/>
      <w:divBdr>
        <w:top w:val="none" w:sz="0" w:space="0" w:color="auto"/>
        <w:left w:val="none" w:sz="0" w:space="0" w:color="auto"/>
        <w:bottom w:val="none" w:sz="0" w:space="0" w:color="auto"/>
        <w:right w:val="none" w:sz="0" w:space="0" w:color="auto"/>
      </w:divBdr>
      <w:divsChild>
        <w:div w:id="1653289628">
          <w:marLeft w:val="0"/>
          <w:marRight w:val="1"/>
          <w:marTop w:val="0"/>
          <w:marBottom w:val="0"/>
          <w:divBdr>
            <w:top w:val="none" w:sz="0" w:space="0" w:color="auto"/>
            <w:left w:val="none" w:sz="0" w:space="0" w:color="auto"/>
            <w:bottom w:val="none" w:sz="0" w:space="0" w:color="auto"/>
            <w:right w:val="none" w:sz="0" w:space="0" w:color="auto"/>
          </w:divBdr>
          <w:divsChild>
            <w:div w:id="1147629895">
              <w:marLeft w:val="0"/>
              <w:marRight w:val="0"/>
              <w:marTop w:val="0"/>
              <w:marBottom w:val="0"/>
              <w:divBdr>
                <w:top w:val="none" w:sz="0" w:space="0" w:color="auto"/>
                <w:left w:val="none" w:sz="0" w:space="0" w:color="auto"/>
                <w:bottom w:val="none" w:sz="0" w:space="0" w:color="auto"/>
                <w:right w:val="none" w:sz="0" w:space="0" w:color="auto"/>
              </w:divBdr>
              <w:divsChild>
                <w:div w:id="1363089912">
                  <w:marLeft w:val="0"/>
                  <w:marRight w:val="1"/>
                  <w:marTop w:val="0"/>
                  <w:marBottom w:val="0"/>
                  <w:divBdr>
                    <w:top w:val="none" w:sz="0" w:space="0" w:color="auto"/>
                    <w:left w:val="none" w:sz="0" w:space="0" w:color="auto"/>
                    <w:bottom w:val="none" w:sz="0" w:space="0" w:color="auto"/>
                    <w:right w:val="none" w:sz="0" w:space="0" w:color="auto"/>
                  </w:divBdr>
                  <w:divsChild>
                    <w:div w:id="1735660954">
                      <w:marLeft w:val="0"/>
                      <w:marRight w:val="0"/>
                      <w:marTop w:val="0"/>
                      <w:marBottom w:val="0"/>
                      <w:divBdr>
                        <w:top w:val="none" w:sz="0" w:space="0" w:color="auto"/>
                        <w:left w:val="none" w:sz="0" w:space="0" w:color="auto"/>
                        <w:bottom w:val="none" w:sz="0" w:space="0" w:color="auto"/>
                        <w:right w:val="none" w:sz="0" w:space="0" w:color="auto"/>
                      </w:divBdr>
                      <w:divsChild>
                        <w:div w:id="90903092">
                          <w:marLeft w:val="0"/>
                          <w:marRight w:val="0"/>
                          <w:marTop w:val="0"/>
                          <w:marBottom w:val="0"/>
                          <w:divBdr>
                            <w:top w:val="none" w:sz="0" w:space="0" w:color="auto"/>
                            <w:left w:val="none" w:sz="0" w:space="0" w:color="auto"/>
                            <w:bottom w:val="none" w:sz="0" w:space="0" w:color="auto"/>
                            <w:right w:val="none" w:sz="0" w:space="0" w:color="auto"/>
                          </w:divBdr>
                          <w:divsChild>
                            <w:div w:id="646202516">
                              <w:marLeft w:val="0"/>
                              <w:marRight w:val="0"/>
                              <w:marTop w:val="120"/>
                              <w:marBottom w:val="360"/>
                              <w:divBdr>
                                <w:top w:val="none" w:sz="0" w:space="0" w:color="auto"/>
                                <w:left w:val="none" w:sz="0" w:space="0" w:color="auto"/>
                                <w:bottom w:val="none" w:sz="0" w:space="0" w:color="auto"/>
                                <w:right w:val="none" w:sz="0" w:space="0" w:color="auto"/>
                              </w:divBdr>
                              <w:divsChild>
                                <w:div w:id="3530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194299">
      <w:bodyDiv w:val="1"/>
      <w:marLeft w:val="0"/>
      <w:marRight w:val="0"/>
      <w:marTop w:val="0"/>
      <w:marBottom w:val="0"/>
      <w:divBdr>
        <w:top w:val="none" w:sz="0" w:space="0" w:color="auto"/>
        <w:left w:val="none" w:sz="0" w:space="0" w:color="auto"/>
        <w:bottom w:val="none" w:sz="0" w:space="0" w:color="auto"/>
        <w:right w:val="none" w:sz="0" w:space="0" w:color="auto"/>
      </w:divBdr>
      <w:divsChild>
        <w:div w:id="315572442">
          <w:marLeft w:val="0"/>
          <w:marRight w:val="1"/>
          <w:marTop w:val="0"/>
          <w:marBottom w:val="0"/>
          <w:divBdr>
            <w:top w:val="none" w:sz="0" w:space="0" w:color="auto"/>
            <w:left w:val="none" w:sz="0" w:space="0" w:color="auto"/>
            <w:bottom w:val="none" w:sz="0" w:space="0" w:color="auto"/>
            <w:right w:val="none" w:sz="0" w:space="0" w:color="auto"/>
          </w:divBdr>
          <w:divsChild>
            <w:div w:id="1623924682">
              <w:marLeft w:val="0"/>
              <w:marRight w:val="0"/>
              <w:marTop w:val="0"/>
              <w:marBottom w:val="0"/>
              <w:divBdr>
                <w:top w:val="none" w:sz="0" w:space="0" w:color="auto"/>
                <w:left w:val="none" w:sz="0" w:space="0" w:color="auto"/>
                <w:bottom w:val="none" w:sz="0" w:space="0" w:color="auto"/>
                <w:right w:val="none" w:sz="0" w:space="0" w:color="auto"/>
              </w:divBdr>
              <w:divsChild>
                <w:div w:id="1558786294">
                  <w:marLeft w:val="0"/>
                  <w:marRight w:val="1"/>
                  <w:marTop w:val="0"/>
                  <w:marBottom w:val="0"/>
                  <w:divBdr>
                    <w:top w:val="none" w:sz="0" w:space="0" w:color="auto"/>
                    <w:left w:val="none" w:sz="0" w:space="0" w:color="auto"/>
                    <w:bottom w:val="none" w:sz="0" w:space="0" w:color="auto"/>
                    <w:right w:val="none" w:sz="0" w:space="0" w:color="auto"/>
                  </w:divBdr>
                  <w:divsChild>
                    <w:div w:id="402265188">
                      <w:marLeft w:val="0"/>
                      <w:marRight w:val="0"/>
                      <w:marTop w:val="0"/>
                      <w:marBottom w:val="0"/>
                      <w:divBdr>
                        <w:top w:val="none" w:sz="0" w:space="0" w:color="auto"/>
                        <w:left w:val="none" w:sz="0" w:space="0" w:color="auto"/>
                        <w:bottom w:val="none" w:sz="0" w:space="0" w:color="auto"/>
                        <w:right w:val="none" w:sz="0" w:space="0" w:color="auto"/>
                      </w:divBdr>
                      <w:divsChild>
                        <w:div w:id="68582603">
                          <w:marLeft w:val="0"/>
                          <w:marRight w:val="0"/>
                          <w:marTop w:val="0"/>
                          <w:marBottom w:val="0"/>
                          <w:divBdr>
                            <w:top w:val="none" w:sz="0" w:space="0" w:color="auto"/>
                            <w:left w:val="none" w:sz="0" w:space="0" w:color="auto"/>
                            <w:bottom w:val="none" w:sz="0" w:space="0" w:color="auto"/>
                            <w:right w:val="none" w:sz="0" w:space="0" w:color="auto"/>
                          </w:divBdr>
                          <w:divsChild>
                            <w:div w:id="1558009665">
                              <w:marLeft w:val="0"/>
                              <w:marRight w:val="0"/>
                              <w:marTop w:val="120"/>
                              <w:marBottom w:val="360"/>
                              <w:divBdr>
                                <w:top w:val="none" w:sz="0" w:space="0" w:color="auto"/>
                                <w:left w:val="none" w:sz="0" w:space="0" w:color="auto"/>
                                <w:bottom w:val="none" w:sz="0" w:space="0" w:color="auto"/>
                                <w:right w:val="none" w:sz="0" w:space="0" w:color="auto"/>
                              </w:divBdr>
                              <w:divsChild>
                                <w:div w:id="2229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11</Pages>
  <Words>3092</Words>
  <Characters>17627</Characters>
  <Application>Microsoft Office Word</Application>
  <DocSecurity>0</DocSecurity>
  <PresentationFormat/>
  <Lines>146</Lines>
  <Paragraphs>41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朱熠锷</dc:creator>
  <cp:lastModifiedBy>ACIB</cp:lastModifiedBy>
  <cp:revision>3</cp:revision>
  <cp:lastPrinted>1899-12-30T00:00:00Z</cp:lastPrinted>
  <dcterms:created xsi:type="dcterms:W3CDTF">2015-01-22T12:57:00Z</dcterms:created>
  <dcterms:modified xsi:type="dcterms:W3CDTF">2015-01-22T12:59:00Z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