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79" w:rsidRPr="00CE6828" w:rsidRDefault="006E7150" w:rsidP="006E7150">
      <w:pPr>
        <w:jc w:val="center"/>
        <w:rPr>
          <w:b/>
          <w:sz w:val="32"/>
        </w:rPr>
      </w:pPr>
      <w:r w:rsidRPr="00CE6828">
        <w:rPr>
          <w:b/>
          <w:sz w:val="32"/>
        </w:rPr>
        <w:t>ORAL PYOGENIC GRANULOMA. REVIEW OF 10 CASES</w:t>
      </w:r>
    </w:p>
    <w:p w:rsidR="006E7150" w:rsidRPr="006E7150" w:rsidRDefault="006E7150" w:rsidP="006E7150">
      <w:pPr>
        <w:jc w:val="center"/>
        <w:rPr>
          <w:b/>
          <w:sz w:val="28"/>
        </w:rPr>
      </w:pPr>
    </w:p>
    <w:p w:rsidR="00177BDD" w:rsidRDefault="00177BDD"/>
    <w:p w:rsidR="00177BDD" w:rsidRPr="002A01A1" w:rsidRDefault="006E7150" w:rsidP="002A01A1">
      <w:pPr>
        <w:spacing w:line="480" w:lineRule="auto"/>
        <w:jc w:val="both"/>
        <w:rPr>
          <w:rFonts w:ascii="Times New Roman" w:hAnsi="Times New Roman" w:cs="Times New Roman"/>
          <w:b/>
        </w:rPr>
      </w:pPr>
      <w:r>
        <w:tab/>
      </w:r>
      <w:r w:rsidRPr="002A01A1">
        <w:rPr>
          <w:rFonts w:ascii="Times New Roman" w:hAnsi="Times New Roman" w:cs="Times New Roman"/>
          <w:b/>
        </w:rPr>
        <w:t>SUMMARY</w:t>
      </w:r>
    </w:p>
    <w:p w:rsidR="00177BDD" w:rsidRPr="002A01A1" w:rsidRDefault="00177BDD" w:rsidP="002A01A1">
      <w:pPr>
        <w:spacing w:line="480" w:lineRule="auto"/>
        <w:jc w:val="both"/>
        <w:rPr>
          <w:rFonts w:ascii="Times New Roman" w:hAnsi="Times New Roman" w:cs="Times New Roman"/>
        </w:rPr>
      </w:pPr>
    </w:p>
    <w:p w:rsidR="00F82B3A" w:rsidRPr="002A01A1" w:rsidRDefault="00023848" w:rsidP="002A01A1">
      <w:pPr>
        <w:pStyle w:val="Default"/>
        <w:spacing w:line="480" w:lineRule="auto"/>
        <w:jc w:val="both"/>
        <w:rPr>
          <w:iCs/>
          <w:color w:val="auto"/>
          <w:sz w:val="22"/>
          <w:szCs w:val="22"/>
        </w:rPr>
      </w:pPr>
      <w:r w:rsidRPr="002A01A1">
        <w:rPr>
          <w:color w:val="auto"/>
          <w:sz w:val="22"/>
          <w:szCs w:val="22"/>
        </w:rPr>
        <w:tab/>
      </w:r>
      <w:r w:rsidR="00177BDD" w:rsidRPr="002A01A1">
        <w:rPr>
          <w:color w:val="auto"/>
          <w:sz w:val="22"/>
          <w:szCs w:val="22"/>
        </w:rPr>
        <w:t xml:space="preserve">Pyogenic granuloma is a commonly occurring inflammatory hyperplasia of the skin and oral mucosa. It is not associated with pus as its name suggests and histologically it resembles an angiomatous lesion rather than a granulomatous lesion. </w:t>
      </w:r>
      <w:r w:rsidR="00177BDD" w:rsidRPr="002A01A1">
        <w:rPr>
          <w:iCs/>
          <w:color w:val="auto"/>
          <w:sz w:val="22"/>
          <w:szCs w:val="22"/>
        </w:rPr>
        <w:t>The present study reports 10 cases</w:t>
      </w:r>
      <w:r w:rsidR="00BD49B7" w:rsidRPr="002A01A1">
        <w:rPr>
          <w:iCs/>
          <w:color w:val="auto"/>
          <w:sz w:val="22"/>
          <w:szCs w:val="22"/>
        </w:rPr>
        <w:t xml:space="preserve">  </w:t>
      </w:r>
      <w:r w:rsidR="00BD49B7" w:rsidRPr="002A01A1">
        <w:rPr>
          <w:color w:val="auto"/>
          <w:sz w:val="22"/>
          <w:szCs w:val="22"/>
        </w:rPr>
        <w:t xml:space="preserve">(age range 10-46 years old; mean: 31.6 years; male:female ratio, 1:1) </w:t>
      </w:r>
      <w:r w:rsidR="00177BDD" w:rsidRPr="002A01A1">
        <w:rPr>
          <w:iCs/>
          <w:color w:val="auto"/>
          <w:sz w:val="22"/>
          <w:szCs w:val="22"/>
        </w:rPr>
        <w:t xml:space="preserve"> on patients that visited Dicle University</w:t>
      </w:r>
      <w:r w:rsidRPr="002A01A1">
        <w:rPr>
          <w:iCs/>
          <w:color w:val="auto"/>
          <w:sz w:val="22"/>
          <w:szCs w:val="22"/>
        </w:rPr>
        <w:t>,</w:t>
      </w:r>
      <w:r w:rsidR="00177BDD" w:rsidRPr="002A01A1">
        <w:rPr>
          <w:iCs/>
          <w:color w:val="auto"/>
          <w:sz w:val="22"/>
          <w:szCs w:val="22"/>
        </w:rPr>
        <w:t xml:space="preserve"> Dentistry Faculty</w:t>
      </w:r>
      <w:r w:rsidRPr="002A01A1">
        <w:rPr>
          <w:iCs/>
          <w:color w:val="auto"/>
          <w:sz w:val="22"/>
          <w:szCs w:val="22"/>
        </w:rPr>
        <w:t>,</w:t>
      </w:r>
      <w:r w:rsidR="00177BDD" w:rsidRPr="002A01A1">
        <w:rPr>
          <w:iCs/>
          <w:color w:val="auto"/>
          <w:sz w:val="22"/>
          <w:szCs w:val="22"/>
        </w:rPr>
        <w:t xml:space="preserve"> Department of Oral and Maxillofacial Surgery. We report the location, size, course and treatment of each lesion, comparing the results obtained to those reported in the literature. We discuss differential diagnosis with respect to other entities, </w:t>
      </w:r>
      <w:r w:rsidR="00177BDD" w:rsidRPr="002A01A1">
        <w:rPr>
          <w:rFonts w:eastAsia="Palatino-Roman"/>
          <w:color w:val="auto"/>
          <w:sz w:val="22"/>
          <w:szCs w:val="22"/>
        </w:rPr>
        <w:t>peripheral ossifying fibroma, peripheral giant cell granuloma,</w:t>
      </w:r>
      <w:r w:rsidR="007675A8" w:rsidRPr="002A01A1">
        <w:rPr>
          <w:rFonts w:eastAsia="Palatino-Roman"/>
          <w:color w:val="auto"/>
          <w:sz w:val="22"/>
          <w:szCs w:val="22"/>
        </w:rPr>
        <w:t xml:space="preserve"> </w:t>
      </w:r>
      <w:r w:rsidR="00177BDD" w:rsidRPr="002A01A1">
        <w:rPr>
          <w:rFonts w:eastAsia="Palatino-Roman"/>
          <w:color w:val="auto"/>
          <w:sz w:val="22"/>
          <w:szCs w:val="22"/>
        </w:rPr>
        <w:t xml:space="preserve">hemangioma and fibroma, </w:t>
      </w:r>
      <w:r w:rsidR="00177BDD" w:rsidRPr="002A01A1">
        <w:rPr>
          <w:iCs/>
          <w:color w:val="auto"/>
          <w:sz w:val="22"/>
          <w:szCs w:val="22"/>
        </w:rPr>
        <w:t xml:space="preserve"> all of which show very similar histological appearance to </w:t>
      </w:r>
      <w:r w:rsidR="007675A8" w:rsidRPr="002A01A1">
        <w:rPr>
          <w:iCs/>
          <w:color w:val="auto"/>
          <w:sz w:val="22"/>
          <w:szCs w:val="22"/>
        </w:rPr>
        <w:t>pyogenic</w:t>
      </w:r>
      <w:r w:rsidR="00177BDD" w:rsidRPr="002A01A1">
        <w:rPr>
          <w:iCs/>
          <w:color w:val="auto"/>
          <w:sz w:val="22"/>
          <w:szCs w:val="22"/>
        </w:rPr>
        <w:t xml:space="preserve"> granuloma.</w:t>
      </w:r>
    </w:p>
    <w:p w:rsidR="00EC68B9" w:rsidRPr="002A01A1" w:rsidRDefault="00EC68B9" w:rsidP="002A01A1">
      <w:pPr>
        <w:autoSpaceDE w:val="0"/>
        <w:autoSpaceDN w:val="0"/>
        <w:adjustRightInd w:val="0"/>
        <w:spacing w:line="480" w:lineRule="auto"/>
        <w:jc w:val="both"/>
        <w:rPr>
          <w:rFonts w:ascii="Times New Roman" w:hAnsi="Times New Roman" w:cs="Times New Roman"/>
          <w:iCs/>
        </w:rPr>
      </w:pPr>
    </w:p>
    <w:p w:rsidR="00EC68B9" w:rsidRPr="002A01A1" w:rsidRDefault="00EC68B9" w:rsidP="002A01A1">
      <w:pPr>
        <w:autoSpaceDE w:val="0"/>
        <w:autoSpaceDN w:val="0"/>
        <w:adjustRightInd w:val="0"/>
        <w:spacing w:line="480" w:lineRule="auto"/>
        <w:jc w:val="both"/>
        <w:rPr>
          <w:rFonts w:ascii="Times New Roman" w:hAnsi="Times New Roman" w:cs="Times New Roman"/>
          <w:b/>
          <w:iCs/>
        </w:rPr>
      </w:pPr>
      <w:r w:rsidRPr="002A01A1">
        <w:rPr>
          <w:rFonts w:ascii="Times New Roman" w:hAnsi="Times New Roman" w:cs="Times New Roman"/>
          <w:iCs/>
        </w:rPr>
        <w:tab/>
      </w:r>
      <w:r w:rsidRPr="002A01A1">
        <w:rPr>
          <w:rFonts w:ascii="Times New Roman" w:hAnsi="Times New Roman" w:cs="Times New Roman"/>
          <w:b/>
          <w:iCs/>
        </w:rPr>
        <w:t>INTRODUCTION</w:t>
      </w:r>
    </w:p>
    <w:p w:rsidR="002A01A1" w:rsidRDefault="002A01A1" w:rsidP="002A01A1">
      <w:pPr>
        <w:autoSpaceDE w:val="0"/>
        <w:autoSpaceDN w:val="0"/>
        <w:adjustRightInd w:val="0"/>
        <w:spacing w:line="480" w:lineRule="auto"/>
        <w:jc w:val="both"/>
        <w:rPr>
          <w:rFonts w:ascii="Times New Roman" w:hAnsi="Times New Roman" w:cs="Times New Roman"/>
        </w:rPr>
      </w:pPr>
    </w:p>
    <w:p w:rsidR="00071C48" w:rsidRPr="002A01A1" w:rsidRDefault="00071C48"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rPr>
        <w:tab/>
        <w:t>Pyogenic granuloma (PG) or granuloma pyogenicum is a well-known oral lesion. It is a localized granulation tissue overgrowth in reaction to mild irritation</w:t>
      </w:r>
      <w:r w:rsidR="00F86B69" w:rsidRPr="002A01A1">
        <w:rPr>
          <w:rFonts w:ascii="Times New Roman" w:hAnsi="Times New Roman" w:cs="Times New Roman"/>
        </w:rPr>
        <w:t xml:space="preserve"> </w:t>
      </w:r>
      <w:r w:rsidR="000E3921" w:rsidRPr="002A01A1">
        <w:rPr>
          <w:rFonts w:ascii="Times New Roman" w:hAnsi="Times New Roman" w:cs="Times New Roman"/>
        </w:rPr>
        <w:t>(1)</w:t>
      </w:r>
      <w:r w:rsidR="006555EB" w:rsidRPr="002A01A1">
        <w:rPr>
          <w:rFonts w:ascii="Times New Roman" w:hAnsi="Times New Roman" w:cs="Times New Roman"/>
        </w:rPr>
        <w:t xml:space="preserve">. </w:t>
      </w:r>
      <w:r w:rsidR="00937377" w:rsidRPr="002A01A1">
        <w:rPr>
          <w:rFonts w:ascii="Times New Roman" w:hAnsi="Times New Roman" w:cs="Times New Roman"/>
        </w:rPr>
        <w:t>P</w:t>
      </w:r>
      <w:r w:rsidR="006555EB" w:rsidRPr="002A01A1">
        <w:rPr>
          <w:rFonts w:ascii="Times New Roman" w:hAnsi="Times New Roman" w:cs="Times New Roman"/>
        </w:rPr>
        <w:t>G</w:t>
      </w:r>
      <w:r w:rsidR="00937377" w:rsidRPr="002A01A1">
        <w:rPr>
          <w:rFonts w:ascii="Times New Roman" w:hAnsi="Times New Roman" w:cs="Times New Roman"/>
        </w:rPr>
        <w:t xml:space="preserve"> is a hyperactive benign inflammatory lesion that occurs mostly on the mucosa of females with high</w:t>
      </w:r>
      <w:r w:rsidR="006555EB" w:rsidRPr="002A01A1">
        <w:rPr>
          <w:rFonts w:ascii="Times New Roman" w:hAnsi="Times New Roman" w:cs="Times New Roman"/>
        </w:rPr>
        <w:t xml:space="preserve"> </w:t>
      </w:r>
      <w:r w:rsidR="00937377" w:rsidRPr="002A01A1">
        <w:rPr>
          <w:rFonts w:ascii="Times New Roman" w:hAnsi="Times New Roman" w:cs="Times New Roman"/>
        </w:rPr>
        <w:t>levels of steroid hormones. It is generally believed that female sex hormones play impor</w:t>
      </w:r>
      <w:r w:rsidR="00F86B69" w:rsidRPr="002A01A1">
        <w:rPr>
          <w:rFonts w:ascii="Times New Roman" w:hAnsi="Times New Roman" w:cs="Times New Roman"/>
        </w:rPr>
        <w:t xml:space="preserve">tant roles in its pathogenesis </w:t>
      </w:r>
      <w:r w:rsidR="000E3921" w:rsidRPr="002A01A1">
        <w:rPr>
          <w:rFonts w:ascii="Times New Roman" w:hAnsi="Times New Roman" w:cs="Times New Roman"/>
        </w:rPr>
        <w:t>(2)</w:t>
      </w:r>
      <w:r w:rsidR="00937377" w:rsidRPr="002A01A1">
        <w:rPr>
          <w:rFonts w:ascii="Times New Roman" w:hAnsi="Times New Roman" w:cs="Times New Roman"/>
        </w:rPr>
        <w:t xml:space="preserve">. </w:t>
      </w:r>
      <w:r w:rsidR="00883545" w:rsidRPr="002A01A1">
        <w:rPr>
          <w:rFonts w:ascii="Times New Roman" w:hAnsi="Times New Roman" w:cs="Times New Roman"/>
        </w:rPr>
        <w:t xml:space="preserve">PG of the oral cavity is known to involve the gingiva most commonly. </w:t>
      </w:r>
      <w:r w:rsidRPr="002A01A1">
        <w:rPr>
          <w:rFonts w:ascii="Times New Roman" w:hAnsi="Times New Roman" w:cs="Times New Roman"/>
        </w:rPr>
        <w:t>The majority remains small and lesions more than 1 cm in diameter are rare on the cheeks, tongue, and floor of the mouth possibly because masticatory trauma restricts their size through necrosis and ulceration</w:t>
      </w:r>
      <w:r w:rsidR="00F86B69" w:rsidRPr="002A01A1">
        <w:rPr>
          <w:rFonts w:ascii="Times New Roman" w:hAnsi="Times New Roman" w:cs="Times New Roman"/>
        </w:rPr>
        <w:t xml:space="preserve"> </w:t>
      </w:r>
      <w:r w:rsidR="000E3921" w:rsidRPr="002A01A1">
        <w:rPr>
          <w:rFonts w:ascii="Times New Roman" w:hAnsi="Times New Roman" w:cs="Times New Roman"/>
        </w:rPr>
        <w:t>(3)</w:t>
      </w:r>
      <w:r w:rsidRPr="002A01A1">
        <w:rPr>
          <w:rFonts w:ascii="Times New Roman" w:hAnsi="Times New Roman" w:cs="Times New Roman"/>
        </w:rPr>
        <w:t xml:space="preserve">. </w:t>
      </w:r>
      <w:r w:rsidR="005E1009" w:rsidRPr="002A01A1">
        <w:rPr>
          <w:rFonts w:ascii="Times New Roman" w:hAnsi="Times New Roman" w:cs="Times New Roman"/>
        </w:rPr>
        <w:t xml:space="preserve">Radiographic findings are absent in pyogenic granuloma. </w:t>
      </w:r>
      <w:r w:rsidRPr="002A01A1">
        <w:rPr>
          <w:rFonts w:ascii="Times New Roman" w:hAnsi="Times New Roman" w:cs="Times New Roman"/>
        </w:rPr>
        <w:t>PG is a benign lesion; therefore, surgical excision is the treatment of choice. To avoid the possibility of recurrence the lesion must be excised down to the underlying periosteum and predis</w:t>
      </w:r>
      <w:r w:rsidR="00F86B69" w:rsidRPr="002A01A1">
        <w:rPr>
          <w:rFonts w:ascii="Times New Roman" w:hAnsi="Times New Roman" w:cs="Times New Roman"/>
        </w:rPr>
        <w:t xml:space="preserve">posing irritant must be removed </w:t>
      </w:r>
      <w:r w:rsidR="000E3921" w:rsidRPr="002A01A1">
        <w:rPr>
          <w:rFonts w:ascii="Times New Roman" w:hAnsi="Times New Roman" w:cs="Times New Roman"/>
        </w:rPr>
        <w:t>(2)</w:t>
      </w:r>
      <w:r w:rsidR="00F86B69" w:rsidRPr="002A01A1">
        <w:rPr>
          <w:rFonts w:ascii="Times New Roman" w:hAnsi="Times New Roman" w:cs="Times New Roman"/>
        </w:rPr>
        <w:t>.</w:t>
      </w:r>
    </w:p>
    <w:p w:rsidR="006555EB" w:rsidRPr="002A01A1" w:rsidRDefault="006555EB"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rPr>
        <w:lastRenderedPageBreak/>
        <w:tab/>
      </w:r>
      <w:r w:rsidR="00C12971" w:rsidRPr="002A01A1">
        <w:rPr>
          <w:rFonts w:ascii="Times New Roman" w:hAnsi="Times New Roman" w:cs="Times New Roman"/>
          <w:iCs/>
        </w:rPr>
        <w:t>The present study reports 10</w:t>
      </w:r>
      <w:r w:rsidRPr="002A01A1">
        <w:rPr>
          <w:rFonts w:ascii="Times New Roman" w:hAnsi="Times New Roman" w:cs="Times New Roman"/>
          <w:iCs/>
        </w:rPr>
        <w:t xml:space="preserve"> cases of PG in patients</w:t>
      </w:r>
      <w:r w:rsidR="00C12971" w:rsidRPr="002A01A1">
        <w:rPr>
          <w:rFonts w:ascii="Times New Roman" w:hAnsi="Times New Roman" w:cs="Times New Roman"/>
          <w:iCs/>
        </w:rPr>
        <w:t xml:space="preserve"> </w:t>
      </w:r>
      <w:r w:rsidRPr="002A01A1">
        <w:rPr>
          <w:rFonts w:ascii="Times New Roman" w:hAnsi="Times New Roman" w:cs="Times New Roman"/>
          <w:iCs/>
        </w:rPr>
        <w:t xml:space="preserve">attending our clinic in the </w:t>
      </w:r>
      <w:r w:rsidR="00C12971" w:rsidRPr="002A01A1">
        <w:rPr>
          <w:rFonts w:ascii="Times New Roman" w:hAnsi="Times New Roman" w:cs="Times New Roman"/>
          <w:iCs/>
        </w:rPr>
        <w:t>Southeastern Anatol</w:t>
      </w:r>
      <w:r w:rsidR="00CC451B" w:rsidRPr="002A01A1">
        <w:rPr>
          <w:rFonts w:ascii="Times New Roman" w:hAnsi="Times New Roman" w:cs="Times New Roman"/>
          <w:iCs/>
        </w:rPr>
        <w:t>ia R</w:t>
      </w:r>
      <w:r w:rsidR="00C12971" w:rsidRPr="002A01A1">
        <w:rPr>
          <w:rFonts w:ascii="Times New Roman" w:hAnsi="Times New Roman" w:cs="Times New Roman"/>
          <w:iCs/>
        </w:rPr>
        <w:t>egion of Turkey</w:t>
      </w:r>
      <w:r w:rsidRPr="002A01A1">
        <w:rPr>
          <w:rFonts w:ascii="Times New Roman" w:hAnsi="Times New Roman" w:cs="Times New Roman"/>
          <w:iCs/>
        </w:rPr>
        <w:t>, with specific</w:t>
      </w:r>
      <w:r w:rsidR="00C12971" w:rsidRPr="002A01A1">
        <w:rPr>
          <w:rFonts w:ascii="Times New Roman" w:hAnsi="Times New Roman" w:cs="Times New Roman"/>
          <w:iCs/>
        </w:rPr>
        <w:t xml:space="preserve"> </w:t>
      </w:r>
      <w:r w:rsidRPr="002A01A1">
        <w:rPr>
          <w:rFonts w:ascii="Times New Roman" w:hAnsi="Times New Roman" w:cs="Times New Roman"/>
          <w:iCs/>
        </w:rPr>
        <w:t>consideration of epidemiological factors and differential</w:t>
      </w:r>
      <w:r w:rsidR="00C12971" w:rsidRPr="002A01A1">
        <w:rPr>
          <w:rFonts w:ascii="Times New Roman" w:hAnsi="Times New Roman" w:cs="Times New Roman"/>
          <w:iCs/>
        </w:rPr>
        <w:t xml:space="preserve"> </w:t>
      </w:r>
      <w:r w:rsidRPr="002A01A1">
        <w:rPr>
          <w:rFonts w:ascii="Times New Roman" w:hAnsi="Times New Roman" w:cs="Times New Roman"/>
          <w:iCs/>
        </w:rPr>
        <w:t>diagnosis.</w:t>
      </w:r>
    </w:p>
    <w:p w:rsidR="00177BDD" w:rsidRPr="002A01A1" w:rsidRDefault="00177BDD" w:rsidP="002A01A1">
      <w:pPr>
        <w:autoSpaceDE w:val="0"/>
        <w:autoSpaceDN w:val="0"/>
        <w:adjustRightInd w:val="0"/>
        <w:spacing w:line="480" w:lineRule="auto"/>
        <w:jc w:val="both"/>
        <w:rPr>
          <w:rFonts w:ascii="Times New Roman" w:hAnsi="Times New Roman" w:cs="Times New Roman"/>
          <w:b/>
          <w:bCs/>
          <w:i/>
          <w:iCs/>
        </w:rPr>
      </w:pPr>
    </w:p>
    <w:p w:rsidR="00F82B3A" w:rsidRPr="002A01A1" w:rsidRDefault="00F82B3A" w:rsidP="002A01A1">
      <w:pPr>
        <w:autoSpaceDE w:val="0"/>
        <w:autoSpaceDN w:val="0"/>
        <w:adjustRightInd w:val="0"/>
        <w:spacing w:line="480" w:lineRule="auto"/>
        <w:jc w:val="both"/>
        <w:rPr>
          <w:rFonts w:ascii="Times New Roman" w:hAnsi="Times New Roman" w:cs="Times New Roman"/>
          <w:b/>
          <w:bCs/>
          <w:iCs/>
        </w:rPr>
      </w:pPr>
      <w:r w:rsidRPr="002A01A1">
        <w:rPr>
          <w:rFonts w:ascii="Times New Roman" w:hAnsi="Times New Roman" w:cs="Times New Roman"/>
          <w:b/>
          <w:bCs/>
          <w:iCs/>
        </w:rPr>
        <w:tab/>
        <w:t>MATERIAL AND METHOD</w:t>
      </w:r>
    </w:p>
    <w:p w:rsidR="00F82B3A" w:rsidRPr="002A01A1" w:rsidRDefault="00F82B3A" w:rsidP="002A01A1">
      <w:pPr>
        <w:autoSpaceDE w:val="0"/>
        <w:autoSpaceDN w:val="0"/>
        <w:adjustRightInd w:val="0"/>
        <w:spacing w:line="480" w:lineRule="auto"/>
        <w:jc w:val="both"/>
        <w:rPr>
          <w:rFonts w:ascii="Times New Roman" w:hAnsi="Times New Roman" w:cs="Times New Roman"/>
          <w:i/>
          <w:iCs/>
        </w:rPr>
      </w:pPr>
    </w:p>
    <w:p w:rsidR="00F82B3A" w:rsidRPr="002A01A1" w:rsidRDefault="00F82B3A" w:rsidP="002A01A1">
      <w:pPr>
        <w:autoSpaceDE w:val="0"/>
        <w:autoSpaceDN w:val="0"/>
        <w:adjustRightInd w:val="0"/>
        <w:spacing w:line="480" w:lineRule="auto"/>
        <w:jc w:val="both"/>
        <w:rPr>
          <w:rFonts w:ascii="Times New Roman" w:hAnsi="Times New Roman" w:cs="Times New Roman"/>
          <w:iCs/>
        </w:rPr>
      </w:pPr>
      <w:r w:rsidRPr="002A01A1">
        <w:rPr>
          <w:rFonts w:ascii="Times New Roman" w:hAnsi="Times New Roman" w:cs="Times New Roman"/>
          <w:iCs/>
        </w:rPr>
        <w:tab/>
        <w:t xml:space="preserve">Over the period of </w:t>
      </w:r>
      <w:r w:rsidR="00CE6828">
        <w:rPr>
          <w:rFonts w:ascii="Times New Roman" w:hAnsi="Times New Roman" w:cs="Times New Roman"/>
          <w:iCs/>
        </w:rPr>
        <w:t>March 2012</w:t>
      </w:r>
      <w:r w:rsidRPr="002A01A1">
        <w:rPr>
          <w:rFonts w:ascii="Times New Roman" w:hAnsi="Times New Roman" w:cs="Times New Roman"/>
          <w:iCs/>
        </w:rPr>
        <w:t>-</w:t>
      </w:r>
      <w:r w:rsidR="00CE6828">
        <w:rPr>
          <w:rFonts w:ascii="Times New Roman" w:hAnsi="Times New Roman" w:cs="Times New Roman"/>
          <w:iCs/>
        </w:rPr>
        <w:t xml:space="preserve"> April 2013</w:t>
      </w:r>
      <w:r w:rsidRPr="002A01A1">
        <w:rPr>
          <w:rFonts w:ascii="Times New Roman" w:hAnsi="Times New Roman" w:cs="Times New Roman"/>
          <w:iCs/>
        </w:rPr>
        <w:t>, a total of 10 patients with PGCG (5 women and 5 men) attended our clinic (Dicle University Dentistry Faculty Department of Oral and Maxillofacial Surgery). Patient age ranged from 10-46 years. In each case we recorded age, sex, lesion location (upper or lower jaw, anterior or posterior position), lesion size, and time-of-onset. Possible correlation between lesion size and time-since-onset was investigated by Spearman rank correlation. Additionally, all patients underwent panoramic and periapical radiography.</w:t>
      </w:r>
    </w:p>
    <w:p w:rsidR="00865AF9" w:rsidRPr="002A01A1" w:rsidRDefault="003851A8" w:rsidP="002A01A1">
      <w:pPr>
        <w:autoSpaceDE w:val="0"/>
        <w:autoSpaceDN w:val="0"/>
        <w:adjustRightInd w:val="0"/>
        <w:spacing w:line="480" w:lineRule="auto"/>
        <w:jc w:val="both"/>
        <w:rPr>
          <w:rFonts w:ascii="Times New Roman" w:hAnsi="Times New Roman" w:cs="Times New Roman"/>
          <w:b/>
          <w:bCs/>
          <w:iCs/>
        </w:rPr>
      </w:pPr>
      <w:r w:rsidRPr="002A01A1">
        <w:rPr>
          <w:rFonts w:ascii="Times New Roman" w:hAnsi="Times New Roman" w:cs="Times New Roman"/>
          <w:iCs/>
        </w:rPr>
        <w:tab/>
      </w:r>
    </w:p>
    <w:p w:rsidR="00FA7871" w:rsidRPr="002A01A1" w:rsidRDefault="002A01A1" w:rsidP="002A01A1">
      <w:pPr>
        <w:autoSpaceDE w:val="0"/>
        <w:autoSpaceDN w:val="0"/>
        <w:adjustRightInd w:val="0"/>
        <w:spacing w:line="480" w:lineRule="auto"/>
        <w:jc w:val="both"/>
        <w:rPr>
          <w:rFonts w:ascii="Times New Roman" w:hAnsi="Times New Roman" w:cs="Times New Roman"/>
          <w:b/>
          <w:bCs/>
          <w:iCs/>
        </w:rPr>
      </w:pPr>
      <w:r>
        <w:rPr>
          <w:rFonts w:ascii="Times New Roman" w:hAnsi="Times New Roman" w:cs="Times New Roman"/>
          <w:b/>
          <w:bCs/>
          <w:iCs/>
        </w:rPr>
        <w:tab/>
      </w:r>
      <w:r w:rsidR="00FA7871" w:rsidRPr="002A01A1">
        <w:rPr>
          <w:rFonts w:ascii="Times New Roman" w:hAnsi="Times New Roman" w:cs="Times New Roman"/>
          <w:b/>
          <w:bCs/>
          <w:iCs/>
        </w:rPr>
        <w:t>RESULTS</w:t>
      </w:r>
    </w:p>
    <w:p w:rsidR="00FA7871" w:rsidRPr="002A01A1" w:rsidRDefault="00FA7871" w:rsidP="002A01A1">
      <w:pPr>
        <w:autoSpaceDE w:val="0"/>
        <w:autoSpaceDN w:val="0"/>
        <w:adjustRightInd w:val="0"/>
        <w:spacing w:line="480" w:lineRule="auto"/>
        <w:jc w:val="both"/>
        <w:rPr>
          <w:rFonts w:ascii="Times New Roman" w:hAnsi="Times New Roman" w:cs="Times New Roman"/>
          <w:b/>
          <w:bCs/>
          <w:iCs/>
        </w:rPr>
      </w:pPr>
    </w:p>
    <w:p w:rsidR="00FA7871" w:rsidRPr="002A01A1" w:rsidRDefault="00FA7871"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iCs/>
        </w:rPr>
        <w:tab/>
        <w:t>The basic characteristics of this series are summarized in Table 1. Mean patient age was 31.6 years (range 10-46 years). Sex range (5 men- 5 women) and also location of  the lesions (5 in upper jaw-5 in lower jaw) were equal. none of these proportions differs significantly from 1:1.  Mean lesion diameter was 1,5 cm, with two granulomas larger than 2 c</w:t>
      </w:r>
      <w:r w:rsidR="00BD49B7" w:rsidRPr="002A01A1">
        <w:rPr>
          <w:rFonts w:ascii="Times New Roman" w:hAnsi="Times New Roman" w:cs="Times New Roman"/>
          <w:iCs/>
        </w:rPr>
        <w:t>m</w:t>
      </w:r>
      <w:r w:rsidRPr="002A01A1">
        <w:rPr>
          <w:rFonts w:ascii="Times New Roman" w:hAnsi="Times New Roman" w:cs="Times New Roman"/>
          <w:iCs/>
        </w:rPr>
        <w:t>. Time-since-onset ranged between 3-20 months.</w:t>
      </w:r>
    </w:p>
    <w:p w:rsidR="00CC451B" w:rsidRPr="002A01A1" w:rsidRDefault="00CC451B" w:rsidP="002A01A1">
      <w:pPr>
        <w:autoSpaceDE w:val="0"/>
        <w:autoSpaceDN w:val="0"/>
        <w:adjustRightInd w:val="0"/>
        <w:spacing w:line="480" w:lineRule="auto"/>
        <w:jc w:val="both"/>
        <w:rPr>
          <w:rFonts w:ascii="Times New Roman" w:hAnsi="Times New Roman" w:cs="Times New Roman"/>
          <w:iCs/>
        </w:rPr>
      </w:pPr>
    </w:p>
    <w:p w:rsidR="003851A8" w:rsidRPr="002A01A1" w:rsidRDefault="003851A8" w:rsidP="002A01A1">
      <w:pPr>
        <w:autoSpaceDE w:val="0"/>
        <w:autoSpaceDN w:val="0"/>
        <w:adjustRightInd w:val="0"/>
        <w:spacing w:line="480" w:lineRule="auto"/>
        <w:jc w:val="both"/>
        <w:rPr>
          <w:rFonts w:ascii="Times New Roman" w:hAnsi="Times New Roman" w:cs="Times New Roman"/>
          <w:b/>
          <w:iCs/>
        </w:rPr>
      </w:pPr>
      <w:r w:rsidRPr="002A01A1">
        <w:rPr>
          <w:rFonts w:ascii="Times New Roman" w:hAnsi="Times New Roman" w:cs="Times New Roman"/>
          <w:iCs/>
        </w:rPr>
        <w:tab/>
      </w:r>
      <w:r w:rsidRPr="002A01A1">
        <w:rPr>
          <w:rFonts w:ascii="Times New Roman" w:hAnsi="Times New Roman" w:cs="Times New Roman"/>
          <w:b/>
          <w:iCs/>
        </w:rPr>
        <w:t>DISCUSSION</w:t>
      </w:r>
    </w:p>
    <w:p w:rsidR="00FA7871" w:rsidRPr="002A01A1" w:rsidRDefault="00FA7871" w:rsidP="002A01A1">
      <w:pPr>
        <w:autoSpaceDE w:val="0"/>
        <w:autoSpaceDN w:val="0"/>
        <w:adjustRightInd w:val="0"/>
        <w:spacing w:line="480" w:lineRule="auto"/>
        <w:jc w:val="both"/>
        <w:rPr>
          <w:rFonts w:ascii="Times New Roman" w:hAnsi="Times New Roman" w:cs="Times New Roman"/>
          <w:b/>
          <w:iCs/>
        </w:rPr>
      </w:pPr>
    </w:p>
    <w:p w:rsidR="00291128" w:rsidRPr="002A01A1" w:rsidRDefault="00FA7871"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iCs/>
        </w:rPr>
        <w:tab/>
      </w:r>
      <w:r w:rsidR="00CC451B" w:rsidRPr="002A01A1">
        <w:rPr>
          <w:rFonts w:ascii="Times New Roman" w:hAnsi="Times New Roman" w:cs="Times New Roman"/>
          <w:iCs/>
        </w:rPr>
        <w:t>All cases included in the present study</w:t>
      </w:r>
      <w:r w:rsidR="00C56C51" w:rsidRPr="002A01A1">
        <w:rPr>
          <w:rFonts w:ascii="Times New Roman" w:hAnsi="Times New Roman" w:cs="Times New Roman"/>
          <w:iCs/>
        </w:rPr>
        <w:t xml:space="preserve"> showed the characteristic clinical appearance of PG i.e.</w:t>
      </w:r>
      <w:r w:rsidR="00CC451B" w:rsidRPr="002A01A1">
        <w:rPr>
          <w:rFonts w:ascii="Times New Roman" w:hAnsi="Times New Roman" w:cs="Times New Roman"/>
          <w:iCs/>
        </w:rPr>
        <w:t xml:space="preserve"> </w:t>
      </w:r>
      <w:r w:rsidR="007D32D1" w:rsidRPr="002A01A1">
        <w:rPr>
          <w:rFonts w:ascii="Times New Roman" w:hAnsi="Times New Roman" w:cs="Times New Roman"/>
        </w:rPr>
        <w:t>soft, painless, and deep red to reddish</w:t>
      </w:r>
      <w:r w:rsidR="007D32D1" w:rsidRPr="002A01A1">
        <w:rPr>
          <w:rFonts w:ascii="Times New Roman" w:eastAsia="MS Mincho" w:hAnsi="MS Mincho" w:cs="Times New Roman"/>
        </w:rPr>
        <w:t>‑</w:t>
      </w:r>
      <w:r w:rsidR="007D32D1" w:rsidRPr="002A01A1">
        <w:rPr>
          <w:rFonts w:ascii="Times New Roman" w:hAnsi="Times New Roman" w:cs="Times New Roman"/>
        </w:rPr>
        <w:t xml:space="preserve">purple in color. </w:t>
      </w:r>
      <w:r w:rsidR="007A56E4" w:rsidRPr="002A01A1">
        <w:rPr>
          <w:rFonts w:ascii="Times New Roman" w:hAnsi="Times New Roman" w:cs="Times New Roman"/>
        </w:rPr>
        <w:t>Intraorally, the gingiva is the most common</w:t>
      </w:r>
      <w:r w:rsidR="00B13B89" w:rsidRPr="002A01A1">
        <w:rPr>
          <w:rFonts w:ascii="Times New Roman" w:hAnsi="Times New Roman" w:cs="Times New Roman"/>
        </w:rPr>
        <w:t xml:space="preserve"> </w:t>
      </w:r>
      <w:r w:rsidR="007A56E4" w:rsidRPr="002A01A1">
        <w:rPr>
          <w:rFonts w:ascii="Times New Roman" w:hAnsi="Times New Roman" w:cs="Times New Roman"/>
        </w:rPr>
        <w:t>site of involvement (about 60%-70%), followed by the lips (14%), tongue (9%), buccal mucosa (7%),</w:t>
      </w:r>
      <w:r w:rsidR="00B13B89" w:rsidRPr="002A01A1">
        <w:rPr>
          <w:rFonts w:ascii="Times New Roman" w:hAnsi="Times New Roman" w:cs="Times New Roman"/>
        </w:rPr>
        <w:t xml:space="preserve"> </w:t>
      </w:r>
      <w:r w:rsidR="007A56E4" w:rsidRPr="002A01A1">
        <w:rPr>
          <w:rFonts w:ascii="Times New Roman" w:hAnsi="Times New Roman" w:cs="Times New Roman"/>
        </w:rPr>
        <w:t>and palate (2%)</w:t>
      </w:r>
      <w:r w:rsidR="00F86B69" w:rsidRPr="002A01A1">
        <w:rPr>
          <w:rFonts w:ascii="Times New Roman" w:hAnsi="Times New Roman" w:cs="Times New Roman"/>
        </w:rPr>
        <w:t xml:space="preserve"> </w:t>
      </w:r>
      <w:r w:rsidR="007A56E4" w:rsidRPr="002A01A1">
        <w:rPr>
          <w:rFonts w:ascii="Times New Roman" w:hAnsi="Times New Roman" w:cs="Times New Roman"/>
        </w:rPr>
        <w:t>(</w:t>
      </w:r>
      <w:r w:rsidR="000E3921" w:rsidRPr="002A01A1">
        <w:rPr>
          <w:rFonts w:ascii="Times New Roman" w:hAnsi="Times New Roman" w:cs="Times New Roman"/>
        </w:rPr>
        <w:t>4)</w:t>
      </w:r>
      <w:r w:rsidR="007A56E4" w:rsidRPr="002A01A1">
        <w:rPr>
          <w:rFonts w:ascii="Times New Roman" w:hAnsi="Times New Roman" w:cs="Times New Roman"/>
        </w:rPr>
        <w:t>.</w:t>
      </w:r>
      <w:r w:rsidR="007D32D1" w:rsidRPr="002A01A1">
        <w:rPr>
          <w:rFonts w:ascii="Times New Roman" w:hAnsi="Times New Roman" w:cs="Times New Roman"/>
        </w:rPr>
        <w:t xml:space="preserve"> </w:t>
      </w:r>
      <w:r w:rsidR="00CA33C7" w:rsidRPr="002A01A1">
        <w:rPr>
          <w:rFonts w:ascii="Times New Roman" w:eastAsia="Palatino-Roman" w:hAnsi="Times New Roman" w:cs="Times New Roman"/>
        </w:rPr>
        <w:t xml:space="preserve">The maxilla more than the mandible, the anterior region than the posterior </w:t>
      </w:r>
      <w:r w:rsidR="00925EA2" w:rsidRPr="002A01A1">
        <w:rPr>
          <w:rFonts w:ascii="Times New Roman" w:eastAsia="Palatino-Roman" w:hAnsi="Times New Roman" w:cs="Times New Roman"/>
        </w:rPr>
        <w:t xml:space="preserve">with the buccal surfaces </w:t>
      </w:r>
      <w:r w:rsidR="00CA33C7" w:rsidRPr="002A01A1">
        <w:rPr>
          <w:rFonts w:ascii="Times New Roman" w:eastAsia="Palatino-Roman" w:hAnsi="Times New Roman" w:cs="Times New Roman"/>
        </w:rPr>
        <w:t xml:space="preserve">being affected </w:t>
      </w:r>
      <w:r w:rsidR="00F86B69" w:rsidRPr="002A01A1">
        <w:rPr>
          <w:rFonts w:ascii="Times New Roman" w:eastAsia="Palatino-Roman" w:hAnsi="Times New Roman" w:cs="Times New Roman"/>
        </w:rPr>
        <w:t xml:space="preserve">more than the lingual surfaces </w:t>
      </w:r>
      <w:r w:rsidR="000E3921" w:rsidRPr="002A01A1">
        <w:rPr>
          <w:rFonts w:ascii="Times New Roman" w:hAnsi="Times New Roman" w:cs="Times New Roman"/>
        </w:rPr>
        <w:t>(5,6).</w:t>
      </w:r>
      <w:r w:rsidR="00CA33C7" w:rsidRPr="002A01A1">
        <w:rPr>
          <w:rFonts w:ascii="Times New Roman" w:hAnsi="Times New Roman" w:cs="Times New Roman"/>
        </w:rPr>
        <w:t xml:space="preserve"> In our series all lesions </w:t>
      </w:r>
      <w:r w:rsidR="00F86B88">
        <w:rPr>
          <w:rFonts w:ascii="Times New Roman" w:hAnsi="Times New Roman" w:cs="Times New Roman"/>
        </w:rPr>
        <w:t xml:space="preserve">showed </w:t>
      </w:r>
      <w:r w:rsidR="00F86B88">
        <w:rPr>
          <w:rFonts w:ascii="Times New Roman" w:hAnsi="Times New Roman" w:cs="Times New Roman"/>
        </w:rPr>
        <w:lastRenderedPageBreak/>
        <w:t>gingival localization</w:t>
      </w:r>
      <w:r w:rsidR="00CA33C7" w:rsidRPr="002A01A1">
        <w:rPr>
          <w:rFonts w:ascii="Times New Roman" w:hAnsi="Times New Roman" w:cs="Times New Roman"/>
        </w:rPr>
        <w:t xml:space="preserve">; the </w:t>
      </w:r>
      <w:r w:rsidR="00925EA2" w:rsidRPr="002A01A1">
        <w:rPr>
          <w:rFonts w:ascii="Times New Roman" w:hAnsi="Times New Roman" w:cs="Times New Roman"/>
        </w:rPr>
        <w:t>more cases in posterior part</w:t>
      </w:r>
      <w:r w:rsidR="00CA33C7" w:rsidRPr="002A01A1">
        <w:rPr>
          <w:rFonts w:ascii="Times New Roman" w:hAnsi="Times New Roman" w:cs="Times New Roman"/>
        </w:rPr>
        <w:t xml:space="preserve"> (6 cases) than in the anterior part (4 cases)</w:t>
      </w:r>
      <w:r w:rsidR="00AC5535" w:rsidRPr="002A01A1">
        <w:rPr>
          <w:rFonts w:ascii="Times New Roman" w:hAnsi="Times New Roman" w:cs="Times New Roman"/>
        </w:rPr>
        <w:t xml:space="preserve"> and </w:t>
      </w:r>
      <w:r w:rsidR="00CA33C7" w:rsidRPr="002A01A1">
        <w:rPr>
          <w:rFonts w:ascii="Times New Roman" w:hAnsi="Times New Roman" w:cs="Times New Roman"/>
        </w:rPr>
        <w:t xml:space="preserve">lower-to-upper jaw ratio was 1:1 </w:t>
      </w:r>
      <w:r w:rsidR="006E5771">
        <w:rPr>
          <w:rFonts w:ascii="Times New Roman" w:hAnsi="Times New Roman" w:cs="Times New Roman"/>
        </w:rPr>
        <w:t xml:space="preserve">(Figs 1,2). </w:t>
      </w:r>
      <w:r w:rsidR="00B13B89" w:rsidRPr="002A01A1">
        <w:rPr>
          <w:rFonts w:ascii="Times New Roman" w:hAnsi="Times New Roman" w:cs="Times New Roman"/>
          <w:iCs/>
        </w:rPr>
        <w:t>N</w:t>
      </w:r>
      <w:r w:rsidR="00D01702" w:rsidRPr="002A01A1">
        <w:rPr>
          <w:rFonts w:ascii="Times New Roman" w:hAnsi="Times New Roman" w:cs="Times New Roman"/>
          <w:iCs/>
        </w:rPr>
        <w:t xml:space="preserve">either </w:t>
      </w:r>
      <w:r w:rsidR="00B13B89" w:rsidRPr="002A01A1">
        <w:rPr>
          <w:rFonts w:ascii="Times New Roman" w:hAnsi="Times New Roman" w:cs="Times New Roman"/>
          <w:iCs/>
        </w:rPr>
        <w:t xml:space="preserve">these </w:t>
      </w:r>
      <w:r w:rsidR="00D01702" w:rsidRPr="002A01A1">
        <w:rPr>
          <w:rFonts w:ascii="Times New Roman" w:hAnsi="Times New Roman" w:cs="Times New Roman"/>
          <w:iCs/>
        </w:rPr>
        <w:t>proportion</w:t>
      </w:r>
      <w:r w:rsidR="00B13B89" w:rsidRPr="002A01A1">
        <w:rPr>
          <w:rFonts w:ascii="Times New Roman" w:hAnsi="Times New Roman" w:cs="Times New Roman"/>
          <w:iCs/>
        </w:rPr>
        <w:t xml:space="preserve">s differ significantly from the </w:t>
      </w:r>
      <w:r w:rsidR="00291128" w:rsidRPr="002A01A1">
        <w:rPr>
          <w:rFonts w:ascii="Times New Roman" w:hAnsi="Times New Roman" w:cs="Times New Roman"/>
          <w:iCs/>
        </w:rPr>
        <w:t>previous studies</w:t>
      </w:r>
      <w:r w:rsidR="00D01702" w:rsidRPr="002A01A1">
        <w:rPr>
          <w:rFonts w:ascii="Times New Roman" w:hAnsi="Times New Roman" w:cs="Times New Roman"/>
          <w:iCs/>
        </w:rPr>
        <w:t xml:space="preserve"> (though of course this may simply</w:t>
      </w:r>
      <w:r w:rsidR="00B13B89" w:rsidRPr="002A01A1">
        <w:rPr>
          <w:rFonts w:ascii="Times New Roman" w:hAnsi="Times New Roman" w:cs="Times New Roman"/>
          <w:iCs/>
        </w:rPr>
        <w:t xml:space="preserve"> </w:t>
      </w:r>
      <w:r w:rsidR="00D01702" w:rsidRPr="002A01A1">
        <w:rPr>
          <w:rFonts w:ascii="Times New Roman" w:hAnsi="Times New Roman" w:cs="Times New Roman"/>
          <w:iCs/>
        </w:rPr>
        <w:t>reflec</w:t>
      </w:r>
      <w:r w:rsidR="00445F4D" w:rsidRPr="002A01A1">
        <w:rPr>
          <w:rFonts w:ascii="Times New Roman" w:hAnsi="Times New Roman" w:cs="Times New Roman"/>
          <w:iCs/>
        </w:rPr>
        <w:t>t the small size of the series).</w:t>
      </w:r>
      <w:r w:rsidR="002312C2" w:rsidRPr="002A01A1">
        <w:rPr>
          <w:rFonts w:ascii="Times New Roman" w:hAnsi="Times New Roman" w:cs="Times New Roman"/>
        </w:rPr>
        <w:t xml:space="preserve"> </w:t>
      </w:r>
      <w:r w:rsidR="00445F4D" w:rsidRPr="002A01A1">
        <w:rPr>
          <w:rFonts w:ascii="Times New Roman" w:hAnsi="Times New Roman" w:cs="Times New Roman"/>
        </w:rPr>
        <w:t xml:space="preserve">These lesions </w:t>
      </w:r>
      <w:r w:rsidR="001D14DB" w:rsidRPr="002A01A1">
        <w:rPr>
          <w:rFonts w:ascii="Times New Roman" w:hAnsi="Times New Roman" w:cs="Times New Roman"/>
        </w:rPr>
        <w:t>are more common</w:t>
      </w:r>
      <w:r w:rsidR="00445F4D" w:rsidRPr="002A01A1">
        <w:rPr>
          <w:rFonts w:ascii="Times New Roman" w:hAnsi="Times New Roman" w:cs="Times New Roman"/>
        </w:rPr>
        <w:t xml:space="preserve"> with a higher incidence in fem</w:t>
      </w:r>
      <w:r w:rsidR="00F86B69" w:rsidRPr="002A01A1">
        <w:rPr>
          <w:rFonts w:ascii="Times New Roman" w:hAnsi="Times New Roman" w:cs="Times New Roman"/>
        </w:rPr>
        <w:t xml:space="preserve">ales than males by 1.5:1 ratio </w:t>
      </w:r>
      <w:r w:rsidR="000E3921" w:rsidRPr="002A01A1">
        <w:rPr>
          <w:rFonts w:ascii="Times New Roman" w:hAnsi="Times New Roman" w:cs="Times New Roman"/>
        </w:rPr>
        <w:t>(7,8).</w:t>
      </w:r>
      <w:r w:rsidR="00445F4D" w:rsidRPr="002A01A1">
        <w:rPr>
          <w:rFonts w:ascii="Times New Roman" w:hAnsi="Times New Roman" w:cs="Times New Roman"/>
        </w:rPr>
        <w:t xml:space="preserve"> In the </w:t>
      </w:r>
      <w:r w:rsidR="001D14DB" w:rsidRPr="002A01A1">
        <w:rPr>
          <w:rFonts w:ascii="Times New Roman" w:hAnsi="Times New Roman" w:cs="Times New Roman"/>
        </w:rPr>
        <w:t>current</w:t>
      </w:r>
      <w:r w:rsidR="00445F4D" w:rsidRPr="002A01A1">
        <w:rPr>
          <w:rFonts w:ascii="Times New Roman" w:hAnsi="Times New Roman" w:cs="Times New Roman"/>
        </w:rPr>
        <w:t xml:space="preserve"> study  male-to-female ratio was 1:1.</w:t>
      </w:r>
    </w:p>
    <w:p w:rsidR="00865AF9" w:rsidRPr="002A01A1" w:rsidRDefault="00023848"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rPr>
        <w:tab/>
      </w:r>
      <w:r w:rsidR="00AF775B" w:rsidRPr="002A01A1">
        <w:rPr>
          <w:rFonts w:ascii="Times New Roman" w:hAnsi="Times New Roman" w:cs="Times New Roman"/>
        </w:rPr>
        <w:t>The authors</w:t>
      </w:r>
      <w:r w:rsidR="00776489" w:rsidRPr="002A01A1">
        <w:rPr>
          <w:rFonts w:ascii="Times New Roman" w:hAnsi="Times New Roman" w:cs="Times New Roman"/>
        </w:rPr>
        <w:t xml:space="preserve"> stated </w:t>
      </w:r>
      <w:r w:rsidR="00AF775B" w:rsidRPr="002A01A1">
        <w:rPr>
          <w:rFonts w:ascii="Times New Roman" w:hAnsi="Times New Roman" w:cs="Times New Roman"/>
        </w:rPr>
        <w:t xml:space="preserve">that oral pyogenic granuloma arises as a result of some minor trauma to the tissues that provide a pathway for invasion of </w:t>
      </w:r>
      <w:r w:rsidR="00291128" w:rsidRPr="002A01A1">
        <w:rPr>
          <w:rFonts w:ascii="Times New Roman" w:hAnsi="Times New Roman" w:cs="Times New Roman"/>
        </w:rPr>
        <w:t>m</w:t>
      </w:r>
      <w:r w:rsidR="00AF775B" w:rsidRPr="002A01A1">
        <w:rPr>
          <w:rFonts w:ascii="Times New Roman" w:hAnsi="Times New Roman" w:cs="Times New Roman"/>
        </w:rPr>
        <w:t>icroorganisms.</w:t>
      </w:r>
      <w:r w:rsidR="00291128" w:rsidRPr="002A01A1">
        <w:rPr>
          <w:rFonts w:ascii="Times New Roman" w:hAnsi="Times New Roman" w:cs="Times New Roman"/>
        </w:rPr>
        <w:t xml:space="preserve"> </w:t>
      </w:r>
      <w:r w:rsidR="005E1009" w:rsidRPr="002A01A1">
        <w:rPr>
          <w:rFonts w:ascii="Times New Roman" w:hAnsi="Times New Roman" w:cs="Times New Roman"/>
        </w:rPr>
        <w:t xml:space="preserve">Bhaskar </w:t>
      </w:r>
      <w:r w:rsidR="005E1009" w:rsidRPr="002A01A1">
        <w:rPr>
          <w:rFonts w:ascii="Times New Roman" w:hAnsi="Times New Roman" w:cs="Times New Roman"/>
          <w:iCs/>
        </w:rPr>
        <w:t>et al</w:t>
      </w:r>
      <w:r w:rsidR="005E1009" w:rsidRPr="002A01A1">
        <w:rPr>
          <w:rFonts w:ascii="Times New Roman" w:hAnsi="Times New Roman" w:cs="Times New Roman"/>
        </w:rPr>
        <w:t>. in their study observed that oral pyogenic</w:t>
      </w:r>
      <w:r w:rsidR="005803D6" w:rsidRPr="002A01A1">
        <w:rPr>
          <w:rFonts w:ascii="Times New Roman" w:hAnsi="Times New Roman" w:cs="Times New Roman"/>
        </w:rPr>
        <w:t xml:space="preserve"> </w:t>
      </w:r>
      <w:r w:rsidR="005E1009" w:rsidRPr="002A01A1">
        <w:rPr>
          <w:rFonts w:ascii="Times New Roman" w:hAnsi="Times New Roman" w:cs="Times New Roman"/>
        </w:rPr>
        <w:t xml:space="preserve">granuloma comprized about 1.85% of all oral pathoses, other than caries and gingivitis treated at US Army Institute of Dental </w:t>
      </w:r>
      <w:r w:rsidR="00F86B69" w:rsidRPr="002A01A1">
        <w:rPr>
          <w:rFonts w:ascii="Times New Roman" w:hAnsi="Times New Roman" w:cs="Times New Roman"/>
        </w:rPr>
        <w:t xml:space="preserve">esearch </w:t>
      </w:r>
      <w:r w:rsidR="000E3921" w:rsidRPr="002A01A1">
        <w:rPr>
          <w:rFonts w:ascii="Times New Roman" w:hAnsi="Times New Roman" w:cs="Times New Roman"/>
        </w:rPr>
        <w:t>(2).</w:t>
      </w:r>
      <w:r w:rsidR="005803D6" w:rsidRPr="002A01A1">
        <w:rPr>
          <w:rFonts w:ascii="Times New Roman" w:hAnsi="Times New Roman" w:cs="Times New Roman"/>
        </w:rPr>
        <w:t xml:space="preserve">  </w:t>
      </w:r>
      <w:r w:rsidR="00AF775B" w:rsidRPr="002A01A1">
        <w:rPr>
          <w:rFonts w:ascii="Times New Roman" w:hAnsi="Times New Roman" w:cs="Times New Roman"/>
        </w:rPr>
        <w:t xml:space="preserve">Some investigators consider pyogenic granuloma as a “reactive” or “reparative” tumor process. Regezi </w:t>
      </w:r>
      <w:r w:rsidR="00AF775B" w:rsidRPr="002A01A1">
        <w:rPr>
          <w:rFonts w:ascii="Times New Roman" w:hAnsi="Times New Roman" w:cs="Times New Roman"/>
          <w:iCs/>
        </w:rPr>
        <w:t>et al</w:t>
      </w:r>
      <w:r w:rsidR="00AF775B" w:rsidRPr="002A01A1">
        <w:rPr>
          <w:rFonts w:ascii="Times New Roman" w:hAnsi="Times New Roman" w:cs="Times New Roman"/>
        </w:rPr>
        <w:t>. suggest</w:t>
      </w:r>
      <w:r w:rsidR="00D01702" w:rsidRPr="002A01A1">
        <w:rPr>
          <w:rFonts w:ascii="Times New Roman" w:hAnsi="Times New Roman" w:cs="Times New Roman"/>
        </w:rPr>
        <w:t xml:space="preserve"> </w:t>
      </w:r>
      <w:r w:rsidR="00AF775B" w:rsidRPr="002A01A1">
        <w:rPr>
          <w:rFonts w:ascii="Times New Roman" w:hAnsi="Times New Roman" w:cs="Times New Roman"/>
        </w:rPr>
        <w:t>that pyogenic granuloma represents an exuberant connective tissue proliferation to a known stimulus or injury like calculus or foreign material within the gingi</w:t>
      </w:r>
      <w:r w:rsidR="00F86B69" w:rsidRPr="002A01A1">
        <w:rPr>
          <w:rFonts w:ascii="Times New Roman" w:hAnsi="Times New Roman" w:cs="Times New Roman"/>
        </w:rPr>
        <w:t xml:space="preserve">val crevice </w:t>
      </w:r>
      <w:r w:rsidR="000E3921" w:rsidRPr="002A01A1">
        <w:rPr>
          <w:rFonts w:ascii="Times New Roman" w:hAnsi="Times New Roman" w:cs="Times New Roman"/>
        </w:rPr>
        <w:t>(1).</w:t>
      </w:r>
      <w:r w:rsidR="00AF775B" w:rsidRPr="002A01A1">
        <w:rPr>
          <w:rFonts w:ascii="Times New Roman" w:hAnsi="Times New Roman" w:cs="Times New Roman"/>
        </w:rPr>
        <w:t xml:space="preserve"> Several “etiologic factors” such as trauma, injury to a primary tooth,</w:t>
      </w:r>
      <w:r w:rsidR="002213D1" w:rsidRPr="002A01A1">
        <w:rPr>
          <w:rFonts w:ascii="Times New Roman" w:hAnsi="Times New Roman" w:cs="Times New Roman"/>
        </w:rPr>
        <w:t xml:space="preserve"> </w:t>
      </w:r>
      <w:r w:rsidR="00AF775B" w:rsidRPr="002A01A1">
        <w:rPr>
          <w:rFonts w:ascii="Times New Roman" w:hAnsi="Times New Roman" w:cs="Times New Roman"/>
        </w:rPr>
        <w:t>chronic irritation, hormones, drugs, gingival inflammation,</w:t>
      </w:r>
      <w:r w:rsidR="002213D1" w:rsidRPr="002A01A1">
        <w:rPr>
          <w:rFonts w:ascii="Times New Roman" w:hAnsi="Times New Roman" w:cs="Times New Roman"/>
        </w:rPr>
        <w:t xml:space="preserve"> </w:t>
      </w:r>
      <w:r w:rsidR="00AF775B" w:rsidRPr="002A01A1">
        <w:rPr>
          <w:rFonts w:ascii="Times New Roman" w:hAnsi="Times New Roman" w:cs="Times New Roman"/>
        </w:rPr>
        <w:t>preexisting vascular lesions, chronic irritation due to</w:t>
      </w:r>
      <w:r w:rsidR="002213D1" w:rsidRPr="002A01A1">
        <w:rPr>
          <w:rFonts w:ascii="Times New Roman" w:hAnsi="Times New Roman" w:cs="Times New Roman"/>
        </w:rPr>
        <w:t xml:space="preserve"> </w:t>
      </w:r>
      <w:r w:rsidR="00AF775B" w:rsidRPr="002A01A1">
        <w:rPr>
          <w:rFonts w:ascii="Times New Roman" w:hAnsi="Times New Roman" w:cs="Times New Roman"/>
        </w:rPr>
        <w:t>exfoliation of primary teeth, eruption of permanent teeth,</w:t>
      </w:r>
      <w:r w:rsidR="002213D1" w:rsidRPr="002A01A1">
        <w:rPr>
          <w:rFonts w:ascii="Times New Roman" w:hAnsi="Times New Roman" w:cs="Times New Roman"/>
        </w:rPr>
        <w:t xml:space="preserve"> </w:t>
      </w:r>
      <w:r w:rsidR="00AF775B" w:rsidRPr="002A01A1">
        <w:rPr>
          <w:rFonts w:ascii="Times New Roman" w:hAnsi="Times New Roman" w:cs="Times New Roman"/>
        </w:rPr>
        <w:t>defective fillings in the region of tumor, food impaction, total</w:t>
      </w:r>
      <w:r w:rsidR="002213D1" w:rsidRPr="002A01A1">
        <w:rPr>
          <w:rFonts w:ascii="Times New Roman" w:hAnsi="Times New Roman" w:cs="Times New Roman"/>
        </w:rPr>
        <w:t xml:space="preserve"> </w:t>
      </w:r>
      <w:r w:rsidR="00AF775B" w:rsidRPr="002A01A1">
        <w:rPr>
          <w:rFonts w:ascii="Times New Roman" w:hAnsi="Times New Roman" w:cs="Times New Roman"/>
        </w:rPr>
        <w:t>periodontitis, toothbrush trauma, etc. have been suggested</w:t>
      </w:r>
      <w:r w:rsidR="002213D1" w:rsidRPr="002A01A1">
        <w:rPr>
          <w:rFonts w:ascii="Times New Roman" w:hAnsi="Times New Roman" w:cs="Times New Roman"/>
        </w:rPr>
        <w:t xml:space="preserve"> </w:t>
      </w:r>
      <w:r w:rsidR="00AF775B" w:rsidRPr="002A01A1">
        <w:rPr>
          <w:rFonts w:ascii="Times New Roman" w:hAnsi="Times New Roman" w:cs="Times New Roman"/>
        </w:rPr>
        <w:t>as etiological factors where patients presented with these</w:t>
      </w:r>
      <w:r w:rsidR="002213D1" w:rsidRPr="002A01A1">
        <w:rPr>
          <w:rFonts w:ascii="Times New Roman" w:hAnsi="Times New Roman" w:cs="Times New Roman"/>
        </w:rPr>
        <w:t xml:space="preserve"> </w:t>
      </w:r>
      <w:r w:rsidR="00F86B69" w:rsidRPr="002A01A1">
        <w:rPr>
          <w:rFonts w:ascii="Times New Roman" w:hAnsi="Times New Roman" w:cs="Times New Roman"/>
        </w:rPr>
        <w:t xml:space="preserve">findings </w:t>
      </w:r>
      <w:r w:rsidR="000E3921" w:rsidRPr="002A01A1">
        <w:rPr>
          <w:rFonts w:ascii="Times New Roman" w:hAnsi="Times New Roman" w:cs="Times New Roman"/>
        </w:rPr>
        <w:t>(9).</w:t>
      </w:r>
      <w:r w:rsidR="00FA7871" w:rsidRPr="002A01A1">
        <w:rPr>
          <w:rFonts w:ascii="Times New Roman" w:hAnsi="Times New Roman" w:cs="Times New Roman"/>
        </w:rPr>
        <w:t xml:space="preserve"> </w:t>
      </w:r>
      <w:r w:rsidR="00291128" w:rsidRPr="002A01A1">
        <w:rPr>
          <w:rFonts w:ascii="Times New Roman" w:hAnsi="Times New Roman" w:cs="Times New Roman"/>
        </w:rPr>
        <w:t>We observed</w:t>
      </w:r>
      <w:r w:rsidR="005803D6" w:rsidRPr="002A01A1">
        <w:rPr>
          <w:rFonts w:ascii="Times New Roman" w:hAnsi="Times New Roman" w:cs="Times New Roman"/>
        </w:rPr>
        <w:t xml:space="preserve"> supra</w:t>
      </w:r>
      <w:r w:rsidR="002213D1" w:rsidRPr="002A01A1">
        <w:rPr>
          <w:rFonts w:ascii="Times New Roman" w:hAnsi="Times New Roman" w:cs="Times New Roman"/>
        </w:rPr>
        <w:t xml:space="preserve"> </w:t>
      </w:r>
      <w:r w:rsidR="005803D6" w:rsidRPr="002A01A1">
        <w:rPr>
          <w:rFonts w:ascii="Times New Roman" w:hAnsi="Times New Roman" w:cs="Times New Roman"/>
        </w:rPr>
        <w:t xml:space="preserve">and subgingival calculus with </w:t>
      </w:r>
      <w:r w:rsidR="00291128" w:rsidRPr="002A01A1">
        <w:rPr>
          <w:rFonts w:ascii="Times New Roman" w:hAnsi="Times New Roman" w:cs="Times New Roman"/>
          <w:iCs/>
        </w:rPr>
        <w:t xml:space="preserve">resorption of the alveolar bone and thickening of the periodontal space </w:t>
      </w:r>
      <w:r w:rsidR="005803D6" w:rsidRPr="002A01A1">
        <w:rPr>
          <w:rFonts w:ascii="Times New Roman" w:hAnsi="Times New Roman" w:cs="Times New Roman"/>
        </w:rPr>
        <w:t xml:space="preserve">in </w:t>
      </w:r>
      <w:r w:rsidR="00776489" w:rsidRPr="002A01A1">
        <w:rPr>
          <w:rFonts w:ascii="Times New Roman" w:hAnsi="Times New Roman" w:cs="Times New Roman"/>
        </w:rPr>
        <w:t>5</w:t>
      </w:r>
      <w:r w:rsidR="005803D6" w:rsidRPr="002A01A1">
        <w:rPr>
          <w:rFonts w:ascii="Times New Roman" w:hAnsi="Times New Roman" w:cs="Times New Roman"/>
        </w:rPr>
        <w:t xml:space="preserve"> patients</w:t>
      </w:r>
      <w:r w:rsidR="00776489" w:rsidRPr="002A01A1">
        <w:rPr>
          <w:rFonts w:ascii="Times New Roman" w:hAnsi="Times New Roman" w:cs="Times New Roman"/>
        </w:rPr>
        <w:t xml:space="preserve"> (%50)</w:t>
      </w:r>
      <w:r w:rsidR="00291128" w:rsidRPr="002A01A1">
        <w:rPr>
          <w:rFonts w:ascii="Times New Roman" w:hAnsi="Times New Roman" w:cs="Times New Roman"/>
        </w:rPr>
        <w:t xml:space="preserve"> reported here</w:t>
      </w:r>
      <w:r w:rsidR="005803D6" w:rsidRPr="002A01A1">
        <w:rPr>
          <w:rFonts w:ascii="Times New Roman" w:hAnsi="Times New Roman" w:cs="Times New Roman"/>
        </w:rPr>
        <w:t>.</w:t>
      </w:r>
      <w:r w:rsidR="00776489" w:rsidRPr="002A01A1">
        <w:rPr>
          <w:rFonts w:ascii="Times New Roman" w:hAnsi="Times New Roman" w:cs="Times New Roman"/>
        </w:rPr>
        <w:t xml:space="preserve"> </w:t>
      </w:r>
      <w:r w:rsidR="008E0AA0" w:rsidRPr="002A01A1">
        <w:rPr>
          <w:rFonts w:ascii="Times New Roman" w:hAnsi="Times New Roman" w:cs="Times New Roman"/>
        </w:rPr>
        <w:t>In case 9, c</w:t>
      </w:r>
      <w:r w:rsidR="002E083F" w:rsidRPr="002A01A1">
        <w:rPr>
          <w:rFonts w:ascii="Times New Roman" w:hAnsi="Times New Roman" w:cs="Times New Roman"/>
        </w:rPr>
        <w:t xml:space="preserve">hronic infected roots </w:t>
      </w:r>
      <w:r w:rsidR="00FA7871" w:rsidRPr="002A01A1">
        <w:rPr>
          <w:rFonts w:ascii="Times New Roman" w:hAnsi="Times New Roman" w:cs="Times New Roman"/>
        </w:rPr>
        <w:t>was involved</w:t>
      </w:r>
      <w:r w:rsidR="002213D1" w:rsidRPr="002A01A1">
        <w:rPr>
          <w:rFonts w:ascii="Times New Roman" w:hAnsi="Times New Roman" w:cs="Times New Roman"/>
        </w:rPr>
        <w:t xml:space="preserve"> </w:t>
      </w:r>
      <w:r w:rsidR="008E0AA0" w:rsidRPr="002A01A1">
        <w:rPr>
          <w:rFonts w:ascii="Times New Roman" w:hAnsi="Times New Roman" w:cs="Times New Roman"/>
        </w:rPr>
        <w:t>by the lesion</w:t>
      </w:r>
      <w:r w:rsidR="002E083F" w:rsidRPr="002A01A1">
        <w:rPr>
          <w:rFonts w:ascii="Times New Roman" w:hAnsi="Times New Roman" w:cs="Times New Roman"/>
        </w:rPr>
        <w:t xml:space="preserve"> </w:t>
      </w:r>
      <w:r w:rsidR="002213D1" w:rsidRPr="002A01A1">
        <w:rPr>
          <w:rFonts w:ascii="Times New Roman" w:hAnsi="Times New Roman" w:cs="Times New Roman"/>
        </w:rPr>
        <w:t>and</w:t>
      </w:r>
      <w:r w:rsidR="008E0AA0" w:rsidRPr="002A01A1">
        <w:rPr>
          <w:rFonts w:ascii="Times New Roman" w:hAnsi="Times New Roman" w:cs="Times New Roman"/>
        </w:rPr>
        <w:t xml:space="preserve"> in case 7,</w:t>
      </w:r>
      <w:r w:rsidR="002213D1" w:rsidRPr="002A01A1">
        <w:rPr>
          <w:rFonts w:ascii="Times New Roman" w:hAnsi="Times New Roman" w:cs="Times New Roman"/>
        </w:rPr>
        <w:t xml:space="preserve"> </w:t>
      </w:r>
      <w:r w:rsidR="005A6A1B" w:rsidRPr="002A01A1">
        <w:rPr>
          <w:rFonts w:ascii="Times New Roman" w:hAnsi="Times New Roman" w:cs="Times New Roman"/>
        </w:rPr>
        <w:t xml:space="preserve">the lesion was seen surrounding </w:t>
      </w:r>
      <w:r w:rsidR="001D14DB" w:rsidRPr="002A01A1">
        <w:rPr>
          <w:rFonts w:ascii="Times New Roman" w:hAnsi="Times New Roman" w:cs="Times New Roman"/>
        </w:rPr>
        <w:t xml:space="preserve">an </w:t>
      </w:r>
      <w:r w:rsidR="008E0AA0" w:rsidRPr="002A01A1">
        <w:rPr>
          <w:rFonts w:ascii="Times New Roman" w:hAnsi="Times New Roman" w:cs="Times New Roman"/>
        </w:rPr>
        <w:t>unerupted first premolar teeth</w:t>
      </w:r>
      <w:r w:rsidR="005803D6" w:rsidRPr="002A01A1">
        <w:rPr>
          <w:rFonts w:ascii="Times New Roman" w:hAnsi="Times New Roman" w:cs="Times New Roman"/>
        </w:rPr>
        <w:t xml:space="preserve"> </w:t>
      </w:r>
      <w:r w:rsidR="006E5771">
        <w:rPr>
          <w:rFonts w:ascii="Times New Roman" w:hAnsi="Times New Roman" w:cs="Times New Roman"/>
        </w:rPr>
        <w:t>(Fig 2).</w:t>
      </w:r>
    </w:p>
    <w:p w:rsidR="007A4B2E" w:rsidRPr="002A01A1" w:rsidRDefault="00865AF9" w:rsidP="002A01A1">
      <w:pPr>
        <w:autoSpaceDE w:val="0"/>
        <w:autoSpaceDN w:val="0"/>
        <w:adjustRightInd w:val="0"/>
        <w:spacing w:line="480" w:lineRule="auto"/>
        <w:jc w:val="both"/>
        <w:rPr>
          <w:rFonts w:ascii="Times New Roman" w:hAnsi="Times New Roman" w:cs="Times New Roman"/>
          <w:iCs/>
        </w:rPr>
      </w:pPr>
      <w:r w:rsidRPr="002A01A1">
        <w:rPr>
          <w:rFonts w:ascii="Times New Roman" w:hAnsi="Times New Roman" w:cs="Times New Roman"/>
        </w:rPr>
        <w:tab/>
      </w:r>
      <w:r w:rsidR="003477F3" w:rsidRPr="002A01A1">
        <w:rPr>
          <w:rFonts w:ascii="Times New Roman" w:hAnsi="Times New Roman" w:cs="Times New Roman"/>
        </w:rPr>
        <w:t>The size varies in diameter from a few millimeters to several centimeters. Rarely PG exceeds 2.5 cm in size and it usually reaches its full size within weeks or months, remaining indefinitely thereafter</w:t>
      </w:r>
      <w:r w:rsidR="00F86B69" w:rsidRPr="002A01A1">
        <w:rPr>
          <w:rFonts w:ascii="Times New Roman" w:hAnsi="Times New Roman" w:cs="Times New Roman"/>
        </w:rPr>
        <w:t xml:space="preserve"> </w:t>
      </w:r>
      <w:r w:rsidR="000E3921" w:rsidRPr="002A01A1">
        <w:rPr>
          <w:rFonts w:ascii="Times New Roman" w:hAnsi="Times New Roman" w:cs="Times New Roman"/>
        </w:rPr>
        <w:t>(5,6).</w:t>
      </w:r>
      <w:r w:rsidR="003477F3" w:rsidRPr="002A01A1">
        <w:rPr>
          <w:rFonts w:ascii="Times New Roman" w:hAnsi="Times New Roman" w:cs="Times New Roman"/>
        </w:rPr>
        <w:t xml:space="preserve"> </w:t>
      </w:r>
      <w:r w:rsidR="007A4B2E" w:rsidRPr="002A01A1">
        <w:rPr>
          <w:rFonts w:ascii="Times New Roman" w:hAnsi="Times New Roman" w:cs="Times New Roman"/>
          <w:iCs/>
        </w:rPr>
        <w:t xml:space="preserve">2 </w:t>
      </w:r>
      <w:r w:rsidR="003477F3" w:rsidRPr="002A01A1">
        <w:rPr>
          <w:rFonts w:ascii="Times New Roman" w:hAnsi="Times New Roman" w:cs="Times New Roman"/>
          <w:iCs/>
        </w:rPr>
        <w:t xml:space="preserve">of our 10 lesions had a diameter greater 2,5 cm </w:t>
      </w:r>
      <w:r w:rsidR="006E5771">
        <w:rPr>
          <w:rFonts w:ascii="Times New Roman" w:hAnsi="Times New Roman" w:cs="Times New Roman"/>
          <w:iCs/>
        </w:rPr>
        <w:t xml:space="preserve">(cases 7 and 9; Table 1). </w:t>
      </w:r>
      <w:r w:rsidR="00463646" w:rsidRPr="002A01A1">
        <w:rPr>
          <w:rFonts w:ascii="Times New Roman" w:hAnsi="Times New Roman" w:cs="Times New Roman"/>
          <w:iCs/>
        </w:rPr>
        <w:t>This can be related to time of onset, since lesion diameter and onset time were significantly correlated. Note, however, that the correlation was not absolute: in one of in these 2 cases , onset time was only 2 months, but diameter was 2.5 cm. This lack of absolute concordance between lesion size and onset time is probably attributable to the diverse possible causes of PG, and the variation in the intensity with which the causal factors act.</w:t>
      </w:r>
    </w:p>
    <w:p w:rsidR="00CD3DAD" w:rsidRPr="002A01A1" w:rsidRDefault="00CD3DAD"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iCs/>
        </w:rPr>
        <w:lastRenderedPageBreak/>
        <w:tab/>
      </w:r>
      <w:r w:rsidR="0081478C" w:rsidRPr="002A01A1">
        <w:rPr>
          <w:rFonts w:ascii="Times New Roman" w:hAnsi="Times New Roman" w:cs="Times New Roman"/>
          <w:iCs/>
        </w:rPr>
        <w:t>In view of these clinical characteristics of PG, a number</w:t>
      </w:r>
      <w:r w:rsidR="00FF1290" w:rsidRPr="002A01A1">
        <w:rPr>
          <w:rFonts w:ascii="Times New Roman" w:hAnsi="Times New Roman" w:cs="Times New Roman"/>
          <w:iCs/>
        </w:rPr>
        <w:t xml:space="preserve"> </w:t>
      </w:r>
      <w:r w:rsidR="0081478C" w:rsidRPr="002A01A1">
        <w:rPr>
          <w:rFonts w:ascii="Times New Roman" w:hAnsi="Times New Roman" w:cs="Times New Roman"/>
          <w:iCs/>
        </w:rPr>
        <w:t xml:space="preserve">of other entities should be considered in differential diagnosis. </w:t>
      </w:r>
      <w:r w:rsidR="003477F3" w:rsidRPr="002A01A1">
        <w:rPr>
          <w:rFonts w:ascii="Times New Roman" w:hAnsi="Times New Roman" w:cs="Times New Roman"/>
        </w:rPr>
        <w:t xml:space="preserve"> </w:t>
      </w:r>
      <w:r w:rsidR="00FB2E25" w:rsidRPr="002A01A1">
        <w:rPr>
          <w:rFonts w:ascii="Times New Roman" w:eastAsia="Palatino-Roman" w:hAnsi="Times New Roman" w:cs="Times New Roman"/>
        </w:rPr>
        <w:t>Differential diagnosis included peripheral giant cell granuloma, peripheral ossifying fibroma, metastatic cancer, hemangioma, pregnancy tumor,</w:t>
      </w:r>
      <w:r w:rsidR="000E3921" w:rsidRPr="002A01A1">
        <w:rPr>
          <w:rFonts w:ascii="Times New Roman" w:eastAsia="Palatino-Roman" w:hAnsi="Times New Roman" w:cs="Times New Roman"/>
        </w:rPr>
        <w:t xml:space="preserve"> </w:t>
      </w:r>
      <w:r w:rsidR="00FB2E25" w:rsidRPr="002A01A1">
        <w:rPr>
          <w:rFonts w:ascii="Times New Roman" w:eastAsia="Palatino-Roman" w:hAnsi="Times New Roman" w:cs="Times New Roman"/>
        </w:rPr>
        <w:t>conventional granulation tissue hyperplasia, Kaposi’s sarcoma, bacillary angiomatosis</w:t>
      </w:r>
      <w:r w:rsidR="00865AF9" w:rsidRPr="002A01A1">
        <w:rPr>
          <w:rFonts w:ascii="Times New Roman" w:eastAsia="Palatino-Roman" w:hAnsi="Times New Roman" w:cs="Times New Roman"/>
        </w:rPr>
        <w:t xml:space="preserve"> </w:t>
      </w:r>
      <w:r w:rsidR="00FB2E25" w:rsidRPr="002A01A1">
        <w:rPr>
          <w:rFonts w:ascii="Times New Roman" w:eastAsia="Palatino-Roman" w:hAnsi="Times New Roman" w:cs="Times New Roman"/>
        </w:rPr>
        <w:t>and non-</w:t>
      </w:r>
      <w:r w:rsidR="00865AF9" w:rsidRPr="002A01A1">
        <w:rPr>
          <w:rFonts w:ascii="Times New Roman" w:eastAsia="Palatino-Roman" w:hAnsi="Times New Roman" w:cs="Times New Roman"/>
        </w:rPr>
        <w:t xml:space="preserve">Hodgkins lymphoma </w:t>
      </w:r>
      <w:r w:rsidR="000E3921" w:rsidRPr="002A01A1">
        <w:rPr>
          <w:rFonts w:ascii="Times New Roman" w:eastAsia="Palatino-Roman" w:hAnsi="Times New Roman" w:cs="Times New Roman"/>
        </w:rPr>
        <w:t>(</w:t>
      </w:r>
      <w:r w:rsidR="00865AF9" w:rsidRPr="002A01A1">
        <w:rPr>
          <w:rFonts w:ascii="Times New Roman" w:eastAsia="Palatino-Roman" w:hAnsi="Times New Roman" w:cs="Times New Roman"/>
        </w:rPr>
        <w:t>10-</w:t>
      </w:r>
      <w:r w:rsidR="000E3921" w:rsidRPr="002A01A1">
        <w:rPr>
          <w:rFonts w:ascii="Times New Roman" w:eastAsia="Palatino-Roman" w:hAnsi="Times New Roman" w:cs="Times New Roman"/>
        </w:rPr>
        <w:t>13)</w:t>
      </w:r>
      <w:r w:rsidR="00865AF9" w:rsidRPr="002A01A1">
        <w:rPr>
          <w:rFonts w:ascii="Times New Roman" w:eastAsia="Palatino-Roman" w:hAnsi="Times New Roman" w:cs="Times New Roman"/>
        </w:rPr>
        <w:t>.</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Peripheral giant cell</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granuloma can be histologically identified due to the presence</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of multinucleated giant cells</w:t>
      </w:r>
      <w:r w:rsidR="000E3921"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and lack of an infectious</w:t>
      </w:r>
      <w:r w:rsidR="00FB2E25" w:rsidRPr="002A01A1">
        <w:rPr>
          <w:rFonts w:ascii="Times New Roman" w:eastAsia="Palatino-Roman" w:hAnsi="Times New Roman" w:cs="Times New Roman"/>
        </w:rPr>
        <w:t xml:space="preserve"> </w:t>
      </w:r>
      <w:r w:rsidR="00865AF9" w:rsidRPr="002A01A1">
        <w:rPr>
          <w:rFonts w:ascii="Times New Roman" w:eastAsia="Palatino-Roman" w:hAnsi="Times New Roman" w:cs="Times New Roman"/>
        </w:rPr>
        <w:t xml:space="preserve">source </w:t>
      </w:r>
      <w:r w:rsidR="000E3921" w:rsidRPr="002A01A1">
        <w:rPr>
          <w:rFonts w:ascii="Times New Roman" w:eastAsia="Palatino-Roman" w:hAnsi="Times New Roman" w:cs="Times New Roman"/>
        </w:rPr>
        <w:t>(14)</w:t>
      </w:r>
      <w:r w:rsidR="00865AF9" w:rsidRPr="002A01A1">
        <w:rPr>
          <w:rFonts w:ascii="Times New Roman" w:eastAsia="Palatino-Roman" w:hAnsi="Times New Roman" w:cs="Times New Roman"/>
        </w:rPr>
        <w:t>.</w:t>
      </w:r>
      <w:r w:rsidR="00023848" w:rsidRPr="002A01A1">
        <w:rPr>
          <w:rFonts w:ascii="Times New Roman" w:eastAsia="Palatino-Roman" w:hAnsi="Times New Roman" w:cs="Times New Roman"/>
        </w:rPr>
        <w:t xml:space="preserve"> Ossifying fibroma or peripheral odontogenic fibroma</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occurs exclusively on the gingiva; however, it has a minimal</w:t>
      </w:r>
      <w:r w:rsidR="001D14DB"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vascular compon</w:t>
      </w:r>
      <w:r w:rsidR="00865AF9" w:rsidRPr="002A01A1">
        <w:rPr>
          <w:rFonts w:ascii="Times New Roman" w:eastAsia="Palatino-Roman" w:hAnsi="Times New Roman" w:cs="Times New Roman"/>
        </w:rPr>
        <w:t xml:space="preserve">ent unlike a pyogenic granuloma </w:t>
      </w:r>
      <w:r w:rsidR="00967F17" w:rsidRPr="002A01A1">
        <w:rPr>
          <w:rFonts w:ascii="Times New Roman" w:eastAsia="Palatino-Roman" w:hAnsi="Times New Roman" w:cs="Times New Roman"/>
        </w:rPr>
        <w:t>(6,15)</w:t>
      </w:r>
      <w:r w:rsidR="00865AF9" w:rsidRPr="002A01A1">
        <w:rPr>
          <w:rFonts w:ascii="Times New Roman" w:eastAsia="Palatino-Roman" w:hAnsi="Times New Roman" w:cs="Times New Roman"/>
        </w:rPr>
        <w:t>.</w:t>
      </w:r>
      <w:r w:rsidR="00023848" w:rsidRPr="002A01A1">
        <w:rPr>
          <w:rFonts w:ascii="Times New Roman" w:eastAsia="Palatino-Roman" w:hAnsi="Times New Roman" w:cs="Times New Roman"/>
        </w:rPr>
        <w:t xml:space="preserve"> Due</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to the proliferating blood vessels differential diagnosis of</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pyogenic granuloma from a hemangioma is made histologically</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in which hemangioma shows endothelial cell proliferation</w:t>
      </w:r>
      <w:r w:rsidR="00023848" w:rsidRPr="002A01A1">
        <w:rPr>
          <w:rFonts w:ascii="Times New Roman" w:hAnsi="Times New Roman" w:cs="Times New Roman"/>
        </w:rPr>
        <w:t xml:space="preserve"> </w:t>
      </w:r>
      <w:r w:rsidR="00023848" w:rsidRPr="002A01A1">
        <w:rPr>
          <w:rFonts w:ascii="Times New Roman" w:eastAsia="Palatino-Roman" w:hAnsi="Times New Roman" w:cs="Times New Roman"/>
        </w:rPr>
        <w:t>without acute inflammatory cell infiltrate, which is a</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common finding in pyogenic granuloma</w:t>
      </w:r>
      <w:r w:rsidR="00865AF9" w:rsidRPr="002A01A1">
        <w:rPr>
          <w:rFonts w:ascii="Times New Roman" w:eastAsia="Palatino-Roman" w:hAnsi="Times New Roman" w:cs="Times New Roman"/>
        </w:rPr>
        <w:t xml:space="preserve"> (12)</w:t>
      </w:r>
      <w:r w:rsidR="00023848" w:rsidRPr="002A01A1">
        <w:rPr>
          <w:rFonts w:ascii="Times New Roman" w:eastAsia="Palatino-Roman" w:hAnsi="Times New Roman" w:cs="Times New Roman"/>
        </w:rPr>
        <w:t>. Metastic tumors</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of the oral cavity are rare and attached gingiva is commonly</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affected, clinically they resemble reactive or hyperplastic</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lesions such as pyogenic granuloma, but microscopically</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they usually resemble the tumor of origin, which usually is</w:t>
      </w:r>
      <w:r w:rsidR="007A4B2E"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distant from the metastatic</w:t>
      </w:r>
      <w:r w:rsidR="00865AF9" w:rsidRPr="002A01A1">
        <w:rPr>
          <w:rFonts w:ascii="Times New Roman" w:eastAsia="Palatino-Roman" w:hAnsi="Times New Roman" w:cs="Times New Roman"/>
        </w:rPr>
        <w:t xml:space="preserve"> lesion seen in the oral cavity </w:t>
      </w:r>
      <w:r w:rsidR="00967F17" w:rsidRPr="002A01A1">
        <w:rPr>
          <w:rFonts w:ascii="Times New Roman" w:eastAsia="Palatino-Roman" w:hAnsi="Times New Roman" w:cs="Times New Roman"/>
        </w:rPr>
        <w:t>(16.)</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The diagnosis of pregnancy tumor is based on the history</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and the apparent influ</w:t>
      </w:r>
      <w:r w:rsidR="00865AF9" w:rsidRPr="002A01A1">
        <w:rPr>
          <w:rFonts w:ascii="Times New Roman" w:eastAsia="Palatino-Roman" w:hAnsi="Times New Roman" w:cs="Times New Roman"/>
        </w:rPr>
        <w:t xml:space="preserve">ence of the female sex hormones </w:t>
      </w:r>
      <w:r w:rsidR="00967F17" w:rsidRPr="002A01A1">
        <w:rPr>
          <w:rFonts w:ascii="Times New Roman" w:eastAsia="Palatino-Roman" w:hAnsi="Times New Roman" w:cs="Times New Roman"/>
        </w:rPr>
        <w:t xml:space="preserve">(17,18). </w:t>
      </w:r>
      <w:r w:rsidR="00023848" w:rsidRPr="002A01A1">
        <w:rPr>
          <w:rFonts w:ascii="Times New Roman" w:eastAsia="Palatino-Roman" w:hAnsi="Times New Roman" w:cs="Times New Roman"/>
        </w:rPr>
        <w:t>Conventional hyperplastic gingival inflammation resembles</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pyogenic granuloma in histopathologic sections and it is</w:t>
      </w:r>
      <w:r w:rsidR="007A4B2E"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impossible for the pathologist to reach a diagnosis and in</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such cases the surgeons description of the lesion is relied</w:t>
      </w:r>
      <w:r w:rsidR="00FB2E25" w:rsidRPr="002A01A1">
        <w:rPr>
          <w:rFonts w:ascii="Times New Roman" w:eastAsia="Palatino-Roman" w:hAnsi="Times New Roman" w:cs="Times New Roman"/>
        </w:rPr>
        <w:t xml:space="preserve"> </w:t>
      </w:r>
      <w:r w:rsidR="00865AF9" w:rsidRPr="002A01A1">
        <w:rPr>
          <w:rFonts w:ascii="Times New Roman" w:eastAsia="Palatino-Roman" w:hAnsi="Times New Roman" w:cs="Times New Roman"/>
        </w:rPr>
        <w:t xml:space="preserve">on. </w:t>
      </w:r>
      <w:r w:rsidR="00023848" w:rsidRPr="002A01A1">
        <w:rPr>
          <w:rFonts w:ascii="Times New Roman" w:eastAsia="Palatino-Roman" w:hAnsi="Times New Roman" w:cs="Times New Roman"/>
        </w:rPr>
        <w:t>Pyogenic granuloma is distinguished from Kaposi’s</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sarcoma in Acquired immune deficiency syndrome due to</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the proliferation of dysplastic spindle cells, vascular clefts,</w:t>
      </w:r>
      <w:r w:rsidR="00FB2E25"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extravasated erythrocytes and intracellular hyaline bodies</w:t>
      </w:r>
      <w:r w:rsidR="00865AF9" w:rsidRPr="002A01A1">
        <w:rPr>
          <w:rFonts w:ascii="Times New Roman" w:eastAsia="Palatino-Roman" w:hAnsi="Times New Roman" w:cs="Times New Roman"/>
        </w:rPr>
        <w:t xml:space="preserve"> </w:t>
      </w:r>
      <w:r w:rsidR="00023848" w:rsidRPr="002A01A1">
        <w:rPr>
          <w:rFonts w:ascii="Times New Roman" w:eastAsia="Palatino-Roman" w:hAnsi="Times New Roman" w:cs="Times New Roman"/>
        </w:rPr>
        <w:t>none of which are seen in pyogenic granuloma.</w:t>
      </w:r>
      <w:r w:rsidR="00023848" w:rsidRPr="002A01A1">
        <w:rPr>
          <w:rFonts w:ascii="Times New Roman" w:hAnsi="Times New Roman" w:cs="Times New Roman"/>
        </w:rPr>
        <w:t xml:space="preserve"> </w:t>
      </w:r>
      <w:r w:rsidR="00865AF9" w:rsidRPr="002A01A1">
        <w:rPr>
          <w:rFonts w:ascii="Times New Roman" w:eastAsia="Palatino-Roman" w:hAnsi="Times New Roman" w:cs="Times New Roman"/>
        </w:rPr>
        <w:t xml:space="preserve">(19).  </w:t>
      </w:r>
    </w:p>
    <w:p w:rsidR="00846AA6" w:rsidRDefault="00CD3DAD" w:rsidP="002A01A1">
      <w:pPr>
        <w:autoSpaceDE w:val="0"/>
        <w:autoSpaceDN w:val="0"/>
        <w:adjustRightInd w:val="0"/>
        <w:spacing w:line="480" w:lineRule="auto"/>
        <w:jc w:val="both"/>
        <w:rPr>
          <w:rFonts w:ascii="Times New Roman" w:eastAsia="Palatino-Roman" w:hAnsi="Times New Roman" w:cs="Times New Roman"/>
        </w:rPr>
      </w:pPr>
      <w:r w:rsidRPr="002A01A1">
        <w:rPr>
          <w:rFonts w:ascii="Times New Roman" w:hAnsi="Times New Roman" w:cs="Times New Roman"/>
        </w:rPr>
        <w:tab/>
      </w:r>
      <w:r w:rsidR="001F6E6C" w:rsidRPr="002A01A1">
        <w:rPr>
          <w:rFonts w:ascii="Times New Roman" w:hAnsi="Times New Roman" w:cs="Times New Roman"/>
        </w:rPr>
        <w:t xml:space="preserve">Treatment of pyogenic granuloma involves a complete </w:t>
      </w:r>
      <w:r w:rsidR="00865AF9" w:rsidRPr="002A01A1">
        <w:rPr>
          <w:rFonts w:ascii="Times New Roman" w:hAnsi="Times New Roman" w:cs="Times New Roman"/>
        </w:rPr>
        <w:t xml:space="preserve">surgical excision </w:t>
      </w:r>
      <w:r w:rsidR="00967F17" w:rsidRPr="002A01A1">
        <w:rPr>
          <w:rFonts w:ascii="Times New Roman" w:hAnsi="Times New Roman" w:cs="Times New Roman"/>
        </w:rPr>
        <w:t>(16)</w:t>
      </w:r>
      <w:r w:rsidR="001F6E6C" w:rsidRPr="002A01A1">
        <w:rPr>
          <w:rFonts w:ascii="Times New Roman" w:hAnsi="Times New Roman" w:cs="Times New Roman"/>
        </w:rPr>
        <w:t xml:space="preserve">. </w:t>
      </w:r>
      <w:r w:rsidR="0081478C" w:rsidRPr="002A01A1">
        <w:rPr>
          <w:rFonts w:ascii="Times New Roman" w:hAnsi="Times New Roman" w:cs="Times New Roman"/>
        </w:rPr>
        <w:t>After surgical</w:t>
      </w:r>
      <w:r w:rsidR="00FF1290" w:rsidRPr="002A01A1">
        <w:rPr>
          <w:rFonts w:ascii="Times New Roman" w:hAnsi="Times New Roman" w:cs="Times New Roman"/>
        </w:rPr>
        <w:t xml:space="preserve"> </w:t>
      </w:r>
      <w:r w:rsidR="0081478C" w:rsidRPr="002A01A1">
        <w:rPr>
          <w:rFonts w:ascii="Times New Roman" w:hAnsi="Times New Roman" w:cs="Times New Roman"/>
        </w:rPr>
        <w:t>excision of lesions, curettage of underlying tissue is</w:t>
      </w:r>
      <w:r w:rsidR="00FF1290" w:rsidRPr="002A01A1">
        <w:rPr>
          <w:rFonts w:ascii="Times New Roman" w:hAnsi="Times New Roman" w:cs="Times New Roman"/>
        </w:rPr>
        <w:t xml:space="preserve"> </w:t>
      </w:r>
      <w:r w:rsidR="00865AF9" w:rsidRPr="002A01A1">
        <w:rPr>
          <w:rFonts w:ascii="Times New Roman" w:hAnsi="Times New Roman" w:cs="Times New Roman"/>
        </w:rPr>
        <w:t xml:space="preserve">recommended </w:t>
      </w:r>
      <w:r w:rsidR="00967F17" w:rsidRPr="002A01A1">
        <w:rPr>
          <w:rFonts w:ascii="Times New Roman" w:hAnsi="Times New Roman" w:cs="Times New Roman"/>
        </w:rPr>
        <w:t>(20).</w:t>
      </w:r>
      <w:r w:rsidR="0081478C" w:rsidRPr="002A01A1">
        <w:rPr>
          <w:rFonts w:ascii="Times New Roman" w:hAnsi="Times New Roman" w:cs="Times New Roman"/>
        </w:rPr>
        <w:t xml:space="preserve"> Excision with 2 mm margins at its clinical</w:t>
      </w:r>
      <w:r w:rsidR="00FF1290" w:rsidRPr="002A01A1">
        <w:rPr>
          <w:rFonts w:ascii="Times New Roman" w:hAnsi="Times New Roman" w:cs="Times New Roman"/>
        </w:rPr>
        <w:t xml:space="preserve"> </w:t>
      </w:r>
      <w:r w:rsidR="0081478C" w:rsidRPr="002A01A1">
        <w:rPr>
          <w:rFonts w:ascii="Times New Roman" w:hAnsi="Times New Roman" w:cs="Times New Roman"/>
        </w:rPr>
        <w:t>periphery and to a depth to the periosteum or to the causative</w:t>
      </w:r>
      <w:r w:rsidR="00FF1290" w:rsidRPr="002A01A1">
        <w:rPr>
          <w:rFonts w:ascii="Times New Roman" w:hAnsi="Times New Roman" w:cs="Times New Roman"/>
        </w:rPr>
        <w:t xml:space="preserve"> </w:t>
      </w:r>
      <w:r w:rsidR="0081478C" w:rsidRPr="002A01A1">
        <w:rPr>
          <w:rFonts w:ascii="Times New Roman" w:hAnsi="Times New Roman" w:cs="Times New Roman"/>
        </w:rPr>
        <w:t>agent. Any foreign body, calculus, or defective restoration</w:t>
      </w:r>
      <w:r w:rsidR="00FF1290" w:rsidRPr="002A01A1">
        <w:rPr>
          <w:rFonts w:ascii="Times New Roman" w:hAnsi="Times New Roman" w:cs="Times New Roman"/>
        </w:rPr>
        <w:t xml:space="preserve"> </w:t>
      </w:r>
      <w:r w:rsidR="0081478C" w:rsidRPr="002A01A1">
        <w:rPr>
          <w:rFonts w:ascii="Times New Roman" w:hAnsi="Times New Roman" w:cs="Times New Roman"/>
        </w:rPr>
        <w:t xml:space="preserve">should be </w:t>
      </w:r>
      <w:r w:rsidR="00865AF9" w:rsidRPr="002A01A1">
        <w:rPr>
          <w:rFonts w:ascii="Times New Roman" w:hAnsi="Times New Roman" w:cs="Times New Roman"/>
        </w:rPr>
        <w:t xml:space="preserve">removed as part of the excision </w:t>
      </w:r>
      <w:r w:rsidR="00967F17" w:rsidRPr="002A01A1">
        <w:rPr>
          <w:rFonts w:ascii="Times New Roman" w:hAnsi="Times New Roman" w:cs="Times New Roman"/>
        </w:rPr>
        <w:t xml:space="preserve">(21). </w:t>
      </w:r>
      <w:r w:rsidR="00023848" w:rsidRPr="002A01A1">
        <w:rPr>
          <w:rFonts w:ascii="Times New Roman" w:eastAsia="Palatino-Roman" w:hAnsi="Times New Roman" w:cs="Times New Roman"/>
        </w:rPr>
        <w:t xml:space="preserve">Various other treatment modalities such as use of Nd: YAG laser, carbon dioxide laser, flash lamp pulse dye laser, cryosurgery, electrodessication, sodium tetradecyl sulfate </w:t>
      </w:r>
      <w:r w:rsidR="00865AF9" w:rsidRPr="002A01A1">
        <w:rPr>
          <w:rFonts w:ascii="Times New Roman" w:eastAsia="Palatino-Roman" w:hAnsi="Times New Roman" w:cs="Times New Roman"/>
        </w:rPr>
        <w:t>sclerotherapy</w:t>
      </w:r>
      <w:r w:rsidR="00023848" w:rsidRPr="002A01A1">
        <w:rPr>
          <w:rFonts w:ascii="Times New Roman" w:eastAsia="Palatino-Roman" w:hAnsi="Times New Roman" w:cs="Times New Roman"/>
        </w:rPr>
        <w:t xml:space="preserve"> and use of intra lesional steroids have been used by various clinicians</w:t>
      </w:r>
      <w:r w:rsidR="00865AF9" w:rsidRPr="002A01A1">
        <w:rPr>
          <w:rFonts w:ascii="Times New Roman" w:eastAsia="Palatino-Roman" w:hAnsi="Times New Roman" w:cs="Times New Roman"/>
        </w:rPr>
        <w:t xml:space="preserve"> (22,23)</w:t>
      </w:r>
      <w:r w:rsidRPr="002A01A1">
        <w:rPr>
          <w:rFonts w:ascii="Times New Roman" w:eastAsia="Palatino-Roman" w:hAnsi="Times New Roman" w:cs="Times New Roman"/>
        </w:rPr>
        <w:t xml:space="preserve">. </w:t>
      </w:r>
      <w:r w:rsidR="0081478C" w:rsidRPr="002A01A1">
        <w:rPr>
          <w:rFonts w:ascii="Times New Roman" w:hAnsi="Times New Roman" w:cs="Times New Roman"/>
        </w:rPr>
        <w:t>Bhaskar and Jacoway has reported recurrence rate of 15.8%</w:t>
      </w:r>
      <w:r w:rsidR="00FF1290" w:rsidRPr="002A01A1">
        <w:rPr>
          <w:rFonts w:ascii="Times New Roman" w:hAnsi="Times New Roman" w:cs="Times New Roman"/>
        </w:rPr>
        <w:t xml:space="preserve"> </w:t>
      </w:r>
      <w:r w:rsidR="00865AF9" w:rsidRPr="002A01A1">
        <w:rPr>
          <w:rFonts w:ascii="Times New Roman" w:hAnsi="Times New Roman" w:cs="Times New Roman"/>
        </w:rPr>
        <w:t xml:space="preserve">after conservative excision </w:t>
      </w:r>
      <w:r w:rsidR="00967F17" w:rsidRPr="002A01A1">
        <w:rPr>
          <w:rFonts w:ascii="Times New Roman" w:hAnsi="Times New Roman" w:cs="Times New Roman"/>
        </w:rPr>
        <w:t>(2).</w:t>
      </w:r>
      <w:r w:rsidR="0081478C" w:rsidRPr="002A01A1">
        <w:rPr>
          <w:rFonts w:ascii="Times New Roman" w:hAnsi="Times New Roman" w:cs="Times New Roman"/>
        </w:rPr>
        <w:t xml:space="preserve"> Vilmann </w:t>
      </w:r>
      <w:r w:rsidR="0081478C" w:rsidRPr="002A01A1">
        <w:rPr>
          <w:rFonts w:ascii="Times New Roman" w:hAnsi="Times New Roman" w:cs="Times New Roman"/>
          <w:iCs/>
        </w:rPr>
        <w:t xml:space="preserve">et al. </w:t>
      </w:r>
      <w:r w:rsidR="0081478C" w:rsidRPr="002A01A1">
        <w:rPr>
          <w:rFonts w:ascii="Times New Roman" w:hAnsi="Times New Roman" w:cs="Times New Roman"/>
        </w:rPr>
        <w:t>observed that</w:t>
      </w:r>
      <w:r w:rsidR="00FF1290" w:rsidRPr="002A01A1">
        <w:rPr>
          <w:rFonts w:ascii="Times New Roman" w:hAnsi="Times New Roman" w:cs="Times New Roman"/>
        </w:rPr>
        <w:t xml:space="preserve"> </w:t>
      </w:r>
      <w:r w:rsidR="0081478C" w:rsidRPr="002A01A1">
        <w:rPr>
          <w:rFonts w:ascii="Times New Roman" w:hAnsi="Times New Roman" w:cs="Times New Roman"/>
        </w:rPr>
        <w:t xml:space="preserve">gingival cases show a much </w:t>
      </w:r>
      <w:r w:rsidR="0081478C" w:rsidRPr="002A01A1">
        <w:rPr>
          <w:rFonts w:ascii="Times New Roman" w:hAnsi="Times New Roman" w:cs="Times New Roman"/>
        </w:rPr>
        <w:lastRenderedPageBreak/>
        <w:t>higher recurrence rate than lesions</w:t>
      </w:r>
      <w:r w:rsidR="00FF1290" w:rsidRPr="002A01A1">
        <w:rPr>
          <w:rFonts w:ascii="Times New Roman" w:hAnsi="Times New Roman" w:cs="Times New Roman"/>
        </w:rPr>
        <w:t xml:space="preserve"> </w:t>
      </w:r>
      <w:r w:rsidR="00865AF9" w:rsidRPr="002A01A1">
        <w:rPr>
          <w:rFonts w:ascii="Times New Roman" w:hAnsi="Times New Roman" w:cs="Times New Roman"/>
        </w:rPr>
        <w:t xml:space="preserve">from other oral mucosal sites </w:t>
      </w:r>
      <w:r w:rsidR="00967F17" w:rsidRPr="002A01A1">
        <w:rPr>
          <w:rFonts w:ascii="Times New Roman" w:hAnsi="Times New Roman" w:cs="Times New Roman"/>
        </w:rPr>
        <w:t>(24).</w:t>
      </w:r>
      <w:r w:rsidR="0081478C" w:rsidRPr="002A01A1">
        <w:rPr>
          <w:rFonts w:ascii="Times New Roman" w:hAnsi="Times New Roman" w:cs="Times New Roman"/>
        </w:rPr>
        <w:t xml:space="preserve"> Sapp </w:t>
      </w:r>
      <w:r w:rsidR="0081478C" w:rsidRPr="002A01A1">
        <w:rPr>
          <w:rFonts w:ascii="Times New Roman" w:hAnsi="Times New Roman" w:cs="Times New Roman"/>
          <w:iCs/>
        </w:rPr>
        <w:t>et al</w:t>
      </w:r>
      <w:r w:rsidR="0081478C" w:rsidRPr="002A01A1">
        <w:rPr>
          <w:rFonts w:ascii="Times New Roman" w:hAnsi="Times New Roman" w:cs="Times New Roman"/>
        </w:rPr>
        <w:t>. stated that oral</w:t>
      </w:r>
      <w:r w:rsidR="00FF1290" w:rsidRPr="002A01A1">
        <w:rPr>
          <w:rFonts w:ascii="Times New Roman" w:hAnsi="Times New Roman" w:cs="Times New Roman"/>
        </w:rPr>
        <w:t xml:space="preserve"> </w:t>
      </w:r>
      <w:r w:rsidR="0081478C" w:rsidRPr="002A01A1">
        <w:rPr>
          <w:rFonts w:ascii="Times New Roman" w:hAnsi="Times New Roman" w:cs="Times New Roman"/>
        </w:rPr>
        <w:t>pyogenic granulomas have a relatively high rate of recurrence</w:t>
      </w:r>
      <w:r w:rsidR="00FF1290" w:rsidRPr="002A01A1">
        <w:rPr>
          <w:rFonts w:ascii="Times New Roman" w:hAnsi="Times New Roman" w:cs="Times New Roman"/>
        </w:rPr>
        <w:t xml:space="preserve"> </w:t>
      </w:r>
      <w:r w:rsidR="00865AF9" w:rsidRPr="002A01A1">
        <w:rPr>
          <w:rFonts w:ascii="Times New Roman" w:hAnsi="Times New Roman" w:cs="Times New Roman"/>
        </w:rPr>
        <w:t xml:space="preserve">after simple excision </w:t>
      </w:r>
      <w:r w:rsidR="00967F17" w:rsidRPr="002A01A1">
        <w:rPr>
          <w:rFonts w:ascii="Times New Roman" w:hAnsi="Times New Roman" w:cs="Times New Roman"/>
        </w:rPr>
        <w:t>(25).</w:t>
      </w:r>
      <w:r w:rsidR="0081478C" w:rsidRPr="002A01A1">
        <w:rPr>
          <w:rFonts w:ascii="Times New Roman" w:hAnsi="Times New Roman" w:cs="Times New Roman"/>
        </w:rPr>
        <w:t xml:space="preserve"> Lawoyin </w:t>
      </w:r>
      <w:r w:rsidR="0081478C" w:rsidRPr="002A01A1">
        <w:rPr>
          <w:rFonts w:ascii="Times New Roman" w:hAnsi="Times New Roman" w:cs="Times New Roman"/>
          <w:iCs/>
        </w:rPr>
        <w:t>et al</w:t>
      </w:r>
      <w:r w:rsidR="0081478C" w:rsidRPr="002A01A1">
        <w:rPr>
          <w:rFonts w:ascii="Times New Roman" w:hAnsi="Times New Roman" w:cs="Times New Roman"/>
        </w:rPr>
        <w:t>. observed no recurrence in</w:t>
      </w:r>
      <w:r w:rsidR="00FF1290" w:rsidRPr="002A01A1">
        <w:rPr>
          <w:rFonts w:ascii="Times New Roman" w:hAnsi="Times New Roman" w:cs="Times New Roman"/>
        </w:rPr>
        <w:t xml:space="preserve"> </w:t>
      </w:r>
      <w:r w:rsidR="0081478C" w:rsidRPr="002A01A1">
        <w:rPr>
          <w:rFonts w:ascii="Times New Roman" w:hAnsi="Times New Roman" w:cs="Times New Roman"/>
        </w:rPr>
        <w:t>cas</w:t>
      </w:r>
      <w:r w:rsidR="00865AF9" w:rsidRPr="002A01A1">
        <w:rPr>
          <w:rFonts w:ascii="Times New Roman" w:hAnsi="Times New Roman" w:cs="Times New Roman"/>
        </w:rPr>
        <w:t xml:space="preserve">es treated by surgical excision </w:t>
      </w:r>
      <w:r w:rsidR="00440E70" w:rsidRPr="002A01A1">
        <w:rPr>
          <w:rFonts w:ascii="Times New Roman" w:hAnsi="Times New Roman" w:cs="Times New Roman"/>
        </w:rPr>
        <w:t>(26)</w:t>
      </w:r>
      <w:r w:rsidR="00865AF9" w:rsidRPr="002A01A1">
        <w:rPr>
          <w:rFonts w:ascii="Times New Roman" w:hAnsi="Times New Roman" w:cs="Times New Roman"/>
        </w:rPr>
        <w:t>.</w:t>
      </w:r>
      <w:r w:rsidR="0081478C" w:rsidRPr="002A01A1">
        <w:rPr>
          <w:rFonts w:ascii="Times New Roman" w:hAnsi="Times New Roman" w:cs="Times New Roman"/>
        </w:rPr>
        <w:t xml:space="preserve"> Al</w:t>
      </w:r>
      <w:r w:rsidR="0081478C" w:rsidRPr="002A01A1">
        <w:rPr>
          <w:rFonts w:ascii="Times New Roman" w:eastAsia="MS Mincho" w:hAnsi="MS Mincho" w:cs="Times New Roman"/>
        </w:rPr>
        <w:t>‑</w:t>
      </w:r>
      <w:r w:rsidR="0081478C" w:rsidRPr="002A01A1">
        <w:rPr>
          <w:rFonts w:ascii="Times New Roman" w:hAnsi="Times New Roman" w:cs="Times New Roman"/>
        </w:rPr>
        <w:t xml:space="preserve">Khateeb </w:t>
      </w:r>
      <w:r w:rsidR="0081478C" w:rsidRPr="002A01A1">
        <w:rPr>
          <w:rFonts w:ascii="Times New Roman" w:hAnsi="Times New Roman" w:cs="Times New Roman"/>
          <w:iCs/>
        </w:rPr>
        <w:t>et al</w:t>
      </w:r>
      <w:r w:rsidR="0081478C" w:rsidRPr="002A01A1">
        <w:rPr>
          <w:rFonts w:ascii="Times New Roman" w:hAnsi="Times New Roman" w:cs="Times New Roman"/>
        </w:rPr>
        <w:t>. observed a recur</w:t>
      </w:r>
      <w:r w:rsidR="00865AF9" w:rsidRPr="002A01A1">
        <w:rPr>
          <w:rFonts w:ascii="Times New Roman" w:hAnsi="Times New Roman" w:cs="Times New Roman"/>
        </w:rPr>
        <w:t xml:space="preserve">rence rate of 5.8% in his study </w:t>
      </w:r>
      <w:r w:rsidR="00440E70" w:rsidRPr="002A01A1">
        <w:rPr>
          <w:rFonts w:ascii="Times New Roman" w:hAnsi="Times New Roman" w:cs="Times New Roman"/>
        </w:rPr>
        <w:t>(27)</w:t>
      </w:r>
      <w:r w:rsidRPr="002A01A1">
        <w:rPr>
          <w:rFonts w:ascii="Times New Roman" w:eastAsia="Palatino-Roman" w:hAnsi="Times New Roman" w:cs="Times New Roman"/>
        </w:rPr>
        <w:t>. In the current study, all lesions were surgically excised and was sent for histopathologic examination. The scaling and root planning of the adjacent teeth was completed to remove all the local irritants, which could have been the primary etiologic</w:t>
      </w:r>
      <w:r w:rsidRPr="002A01A1">
        <w:rPr>
          <w:rFonts w:ascii="Times New Roman" w:hAnsi="Times New Roman" w:cs="Times New Roman"/>
        </w:rPr>
        <w:t xml:space="preserve"> </w:t>
      </w:r>
      <w:r w:rsidRPr="002A01A1">
        <w:rPr>
          <w:rFonts w:ascii="Times New Roman" w:eastAsia="Palatino-Roman" w:hAnsi="Times New Roman" w:cs="Times New Roman"/>
        </w:rPr>
        <w:t>factor.</w:t>
      </w:r>
      <w:r w:rsidRPr="002A01A1">
        <w:rPr>
          <w:rFonts w:ascii="Times New Roman" w:hAnsi="Times New Roman" w:cs="Times New Roman"/>
        </w:rPr>
        <w:t xml:space="preserve"> </w:t>
      </w:r>
      <w:r w:rsidR="00FF1290" w:rsidRPr="002A01A1">
        <w:rPr>
          <w:rFonts w:ascii="Times New Roman" w:eastAsia="Palatino-Roman" w:hAnsi="Times New Roman" w:cs="Times New Roman"/>
        </w:rPr>
        <w:t xml:space="preserve">We followed up </w:t>
      </w:r>
      <w:r w:rsidR="001D14DB" w:rsidRPr="002A01A1">
        <w:rPr>
          <w:rFonts w:ascii="Times New Roman" w:eastAsia="Palatino-Roman" w:hAnsi="Times New Roman" w:cs="Times New Roman"/>
        </w:rPr>
        <w:t>all</w:t>
      </w:r>
      <w:r w:rsidR="00FF1290" w:rsidRPr="002A01A1">
        <w:rPr>
          <w:rFonts w:ascii="Times New Roman" w:eastAsia="Palatino-Roman" w:hAnsi="Times New Roman" w:cs="Times New Roman"/>
        </w:rPr>
        <w:t xml:space="preserve"> cases for a period of 1 year and </w:t>
      </w:r>
      <w:r w:rsidR="001D14DB" w:rsidRPr="002A01A1">
        <w:rPr>
          <w:rFonts w:ascii="Times New Roman" w:eastAsia="Palatino-Roman" w:hAnsi="Times New Roman" w:cs="Times New Roman"/>
        </w:rPr>
        <w:t xml:space="preserve">there has been </w:t>
      </w:r>
      <w:r w:rsidR="00FF1290" w:rsidRPr="002A01A1">
        <w:rPr>
          <w:rFonts w:ascii="Times New Roman" w:eastAsia="Palatino-Roman" w:hAnsi="Times New Roman" w:cs="Times New Roman"/>
        </w:rPr>
        <w:t xml:space="preserve">no recurrence </w:t>
      </w:r>
      <w:r w:rsidR="001D14DB" w:rsidRPr="002A01A1">
        <w:rPr>
          <w:rFonts w:ascii="Times New Roman" w:eastAsia="Palatino-Roman" w:hAnsi="Times New Roman" w:cs="Times New Roman"/>
        </w:rPr>
        <w:t>so far</w:t>
      </w:r>
      <w:r w:rsidR="00FF1290" w:rsidRPr="002A01A1">
        <w:rPr>
          <w:rFonts w:ascii="Times New Roman" w:eastAsia="Palatino-Roman" w:hAnsi="Times New Roman" w:cs="Times New Roman"/>
        </w:rPr>
        <w:t>.</w:t>
      </w: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Pr="00846AA6" w:rsidRDefault="00846AA6" w:rsidP="00846AA6">
      <w:pPr>
        <w:rPr>
          <w:rFonts w:ascii="Times New Roman" w:hAnsi="Times New Roman" w:cs="Times New Roman"/>
          <w:bCs/>
          <w:i/>
          <w:iCs/>
          <w:sz w:val="20"/>
          <w:szCs w:val="20"/>
        </w:rPr>
      </w:pPr>
      <w:r w:rsidRPr="00846AA6">
        <w:rPr>
          <w:rFonts w:ascii="Times New Roman" w:hAnsi="Times New Roman" w:cs="Times New Roman"/>
          <w:b/>
          <w:bCs/>
          <w:i/>
          <w:iCs/>
          <w:sz w:val="20"/>
          <w:szCs w:val="20"/>
        </w:rPr>
        <w:t>Table 1:</w:t>
      </w:r>
      <w:r w:rsidRPr="00846AA6">
        <w:rPr>
          <w:rFonts w:ascii="Times New Roman" w:hAnsi="Times New Roman" w:cs="Times New Roman"/>
          <w:bCs/>
          <w:i/>
          <w:iCs/>
          <w:sz w:val="20"/>
          <w:szCs w:val="20"/>
        </w:rPr>
        <w:t xml:space="preserve"> </w:t>
      </w:r>
      <w:r w:rsidRPr="00846AA6">
        <w:rPr>
          <w:rFonts w:ascii="Times New Roman" w:hAnsi="Times New Roman" w:cs="Times New Roman"/>
          <w:bCs/>
          <w:iCs/>
          <w:sz w:val="20"/>
          <w:szCs w:val="20"/>
        </w:rPr>
        <w:t>Summarized characteristics of the 10 cases of pyogenic granuloma considered in the present study</w:t>
      </w:r>
    </w:p>
    <w:tbl>
      <w:tblPr>
        <w:tblStyle w:val="TabloKlavuzu"/>
        <w:tblW w:w="0" w:type="auto"/>
        <w:tblLook w:val="04A0"/>
      </w:tblPr>
      <w:tblGrid>
        <w:gridCol w:w="959"/>
        <w:gridCol w:w="1276"/>
        <w:gridCol w:w="1275"/>
        <w:gridCol w:w="1276"/>
        <w:gridCol w:w="1559"/>
        <w:gridCol w:w="1276"/>
        <w:gridCol w:w="1276"/>
      </w:tblGrid>
      <w:tr w:rsidR="00846AA6" w:rsidTr="00CA6E93">
        <w:trPr>
          <w:trHeight w:val="567"/>
        </w:trPr>
        <w:tc>
          <w:tcPr>
            <w:tcW w:w="959" w:type="dxa"/>
          </w:tcPr>
          <w:p w:rsidR="00846AA6" w:rsidRDefault="00846AA6" w:rsidP="00CA6E93">
            <w:pPr>
              <w:jc w:val="center"/>
            </w:pPr>
            <w:r>
              <w:t>Case</w:t>
            </w:r>
          </w:p>
        </w:tc>
        <w:tc>
          <w:tcPr>
            <w:tcW w:w="1276" w:type="dxa"/>
          </w:tcPr>
          <w:p w:rsidR="00846AA6" w:rsidRDefault="00846AA6" w:rsidP="00CA6E93">
            <w:pPr>
              <w:jc w:val="center"/>
            </w:pPr>
            <w:r>
              <w:t>Age</w:t>
            </w:r>
          </w:p>
          <w:p w:rsidR="00846AA6" w:rsidRDefault="00846AA6" w:rsidP="00CA6E93">
            <w:pPr>
              <w:jc w:val="center"/>
            </w:pPr>
            <w:r>
              <w:t>(years)</w:t>
            </w:r>
          </w:p>
        </w:tc>
        <w:tc>
          <w:tcPr>
            <w:tcW w:w="1275" w:type="dxa"/>
          </w:tcPr>
          <w:p w:rsidR="00846AA6" w:rsidRDefault="00846AA6" w:rsidP="00CA6E93">
            <w:pPr>
              <w:jc w:val="center"/>
            </w:pPr>
            <w:r>
              <w:t>Sex</w:t>
            </w:r>
          </w:p>
        </w:tc>
        <w:tc>
          <w:tcPr>
            <w:tcW w:w="1276" w:type="dxa"/>
          </w:tcPr>
          <w:p w:rsidR="00846AA6" w:rsidRDefault="00846AA6" w:rsidP="00CA6E93">
            <w:pPr>
              <w:jc w:val="center"/>
            </w:pPr>
            <w:r>
              <w:t>Jaw</w:t>
            </w:r>
          </w:p>
        </w:tc>
        <w:tc>
          <w:tcPr>
            <w:tcW w:w="1559" w:type="dxa"/>
          </w:tcPr>
          <w:p w:rsidR="00846AA6" w:rsidRDefault="00846AA6" w:rsidP="00CA6E93">
            <w:pPr>
              <w:jc w:val="center"/>
            </w:pPr>
            <w:r>
              <w:t>Location</w:t>
            </w:r>
          </w:p>
        </w:tc>
        <w:tc>
          <w:tcPr>
            <w:tcW w:w="1276" w:type="dxa"/>
          </w:tcPr>
          <w:p w:rsidR="00846AA6" w:rsidRDefault="00846AA6" w:rsidP="00CA6E93">
            <w:pPr>
              <w:jc w:val="center"/>
            </w:pPr>
            <w:r>
              <w:t>Size</w:t>
            </w:r>
          </w:p>
          <w:p w:rsidR="00846AA6" w:rsidRDefault="00846AA6" w:rsidP="00CA6E93">
            <w:pPr>
              <w:jc w:val="center"/>
            </w:pPr>
            <w:r>
              <w:t>(cm)</w:t>
            </w:r>
          </w:p>
        </w:tc>
        <w:tc>
          <w:tcPr>
            <w:tcW w:w="1276" w:type="dxa"/>
          </w:tcPr>
          <w:p w:rsidR="00846AA6" w:rsidRDefault="00846AA6" w:rsidP="00CA6E93">
            <w:pPr>
              <w:jc w:val="center"/>
            </w:pPr>
            <w:r>
              <w:t>TSO</w:t>
            </w:r>
          </w:p>
          <w:p w:rsidR="00846AA6" w:rsidRDefault="00846AA6" w:rsidP="00CA6E93">
            <w:pPr>
              <w:jc w:val="center"/>
            </w:pPr>
            <w:r>
              <w:t>(months)</w:t>
            </w:r>
          </w:p>
        </w:tc>
      </w:tr>
      <w:tr w:rsidR="00846AA6" w:rsidTr="00CA6E93">
        <w:tc>
          <w:tcPr>
            <w:tcW w:w="959" w:type="dxa"/>
          </w:tcPr>
          <w:p w:rsidR="00846AA6" w:rsidRDefault="00846AA6" w:rsidP="00CA6E93">
            <w:r>
              <w:t>1</w:t>
            </w:r>
          </w:p>
        </w:tc>
        <w:tc>
          <w:tcPr>
            <w:tcW w:w="1276" w:type="dxa"/>
          </w:tcPr>
          <w:p w:rsidR="00846AA6" w:rsidRDefault="00846AA6" w:rsidP="00CA6E93">
            <w:pPr>
              <w:jc w:val="center"/>
            </w:pPr>
            <w:r>
              <w:t>42</w:t>
            </w:r>
          </w:p>
        </w:tc>
        <w:tc>
          <w:tcPr>
            <w:tcW w:w="1275" w:type="dxa"/>
          </w:tcPr>
          <w:p w:rsidR="00846AA6" w:rsidRDefault="00846AA6" w:rsidP="00CA6E93">
            <w:pPr>
              <w:jc w:val="center"/>
            </w:pPr>
            <w:r>
              <w:t>M</w:t>
            </w:r>
          </w:p>
        </w:tc>
        <w:tc>
          <w:tcPr>
            <w:tcW w:w="1276" w:type="dxa"/>
          </w:tcPr>
          <w:p w:rsidR="00846AA6" w:rsidRDefault="00846AA6" w:rsidP="00CA6E93">
            <w:pPr>
              <w:jc w:val="center"/>
            </w:pPr>
            <w:r>
              <w:t>L</w:t>
            </w:r>
          </w:p>
        </w:tc>
        <w:tc>
          <w:tcPr>
            <w:tcW w:w="1559" w:type="dxa"/>
          </w:tcPr>
          <w:p w:rsidR="00846AA6" w:rsidRDefault="00846AA6" w:rsidP="00CA6E93">
            <w:pPr>
              <w:jc w:val="center"/>
            </w:pPr>
            <w:r>
              <w:t>Posterior</w:t>
            </w:r>
          </w:p>
        </w:tc>
        <w:tc>
          <w:tcPr>
            <w:tcW w:w="1276" w:type="dxa"/>
          </w:tcPr>
          <w:p w:rsidR="00846AA6" w:rsidRDefault="00846AA6" w:rsidP="00CA6E93">
            <w:pPr>
              <w:jc w:val="center"/>
            </w:pPr>
            <w:r>
              <w:t>1</w:t>
            </w:r>
          </w:p>
        </w:tc>
        <w:tc>
          <w:tcPr>
            <w:tcW w:w="1276" w:type="dxa"/>
          </w:tcPr>
          <w:p w:rsidR="00846AA6" w:rsidRDefault="00846AA6" w:rsidP="00CA6E93">
            <w:pPr>
              <w:jc w:val="center"/>
            </w:pPr>
            <w:r>
              <w:t>3</w:t>
            </w:r>
          </w:p>
        </w:tc>
      </w:tr>
      <w:tr w:rsidR="00846AA6" w:rsidTr="00CA6E93">
        <w:tc>
          <w:tcPr>
            <w:tcW w:w="959" w:type="dxa"/>
          </w:tcPr>
          <w:p w:rsidR="00846AA6" w:rsidRDefault="00846AA6" w:rsidP="00CA6E93">
            <w:r>
              <w:t>2</w:t>
            </w:r>
          </w:p>
        </w:tc>
        <w:tc>
          <w:tcPr>
            <w:tcW w:w="1276" w:type="dxa"/>
          </w:tcPr>
          <w:p w:rsidR="00846AA6" w:rsidRDefault="00846AA6" w:rsidP="00CA6E93">
            <w:pPr>
              <w:jc w:val="center"/>
            </w:pPr>
            <w:r>
              <w:t>36</w:t>
            </w:r>
          </w:p>
        </w:tc>
        <w:tc>
          <w:tcPr>
            <w:tcW w:w="1275" w:type="dxa"/>
          </w:tcPr>
          <w:p w:rsidR="00846AA6" w:rsidRDefault="00846AA6" w:rsidP="00CA6E93">
            <w:pPr>
              <w:jc w:val="center"/>
            </w:pPr>
            <w:r>
              <w:t>F</w:t>
            </w:r>
          </w:p>
        </w:tc>
        <w:tc>
          <w:tcPr>
            <w:tcW w:w="1276" w:type="dxa"/>
          </w:tcPr>
          <w:p w:rsidR="00846AA6" w:rsidRDefault="00846AA6" w:rsidP="00CA6E93">
            <w:pPr>
              <w:jc w:val="center"/>
            </w:pPr>
            <w:r>
              <w:t>L</w:t>
            </w:r>
          </w:p>
        </w:tc>
        <w:tc>
          <w:tcPr>
            <w:tcW w:w="1559" w:type="dxa"/>
          </w:tcPr>
          <w:p w:rsidR="00846AA6" w:rsidRDefault="00846AA6" w:rsidP="00CA6E93">
            <w:pPr>
              <w:jc w:val="center"/>
            </w:pPr>
            <w:r>
              <w:t>Posterior</w:t>
            </w:r>
          </w:p>
        </w:tc>
        <w:tc>
          <w:tcPr>
            <w:tcW w:w="1276" w:type="dxa"/>
          </w:tcPr>
          <w:p w:rsidR="00846AA6" w:rsidRDefault="00846AA6" w:rsidP="00CA6E93">
            <w:pPr>
              <w:jc w:val="center"/>
            </w:pPr>
            <w:r>
              <w:t>1.5</w:t>
            </w:r>
          </w:p>
        </w:tc>
        <w:tc>
          <w:tcPr>
            <w:tcW w:w="1276" w:type="dxa"/>
          </w:tcPr>
          <w:p w:rsidR="00846AA6" w:rsidRDefault="00846AA6" w:rsidP="00CA6E93">
            <w:pPr>
              <w:jc w:val="center"/>
            </w:pPr>
            <w:r>
              <w:t>4</w:t>
            </w:r>
          </w:p>
        </w:tc>
      </w:tr>
      <w:tr w:rsidR="00846AA6" w:rsidTr="00CA6E93">
        <w:tc>
          <w:tcPr>
            <w:tcW w:w="959" w:type="dxa"/>
          </w:tcPr>
          <w:p w:rsidR="00846AA6" w:rsidRDefault="00846AA6" w:rsidP="00CA6E93">
            <w:r>
              <w:t>3</w:t>
            </w:r>
          </w:p>
        </w:tc>
        <w:tc>
          <w:tcPr>
            <w:tcW w:w="1276" w:type="dxa"/>
          </w:tcPr>
          <w:p w:rsidR="00846AA6" w:rsidRDefault="00846AA6" w:rsidP="00CA6E93">
            <w:pPr>
              <w:jc w:val="center"/>
            </w:pPr>
            <w:r>
              <w:t>44</w:t>
            </w:r>
          </w:p>
        </w:tc>
        <w:tc>
          <w:tcPr>
            <w:tcW w:w="1275" w:type="dxa"/>
          </w:tcPr>
          <w:p w:rsidR="00846AA6" w:rsidRDefault="00846AA6" w:rsidP="00CA6E93">
            <w:pPr>
              <w:jc w:val="center"/>
            </w:pPr>
            <w:r>
              <w:t>F</w:t>
            </w:r>
          </w:p>
        </w:tc>
        <w:tc>
          <w:tcPr>
            <w:tcW w:w="1276" w:type="dxa"/>
          </w:tcPr>
          <w:p w:rsidR="00846AA6" w:rsidRDefault="00846AA6" w:rsidP="00CA6E93">
            <w:pPr>
              <w:jc w:val="center"/>
            </w:pPr>
            <w:r>
              <w:t>U</w:t>
            </w:r>
          </w:p>
        </w:tc>
        <w:tc>
          <w:tcPr>
            <w:tcW w:w="1559" w:type="dxa"/>
          </w:tcPr>
          <w:p w:rsidR="00846AA6" w:rsidRDefault="00846AA6" w:rsidP="00CA6E93">
            <w:pPr>
              <w:jc w:val="center"/>
            </w:pPr>
            <w:r>
              <w:t>Anterior</w:t>
            </w:r>
          </w:p>
        </w:tc>
        <w:tc>
          <w:tcPr>
            <w:tcW w:w="1276" w:type="dxa"/>
          </w:tcPr>
          <w:p w:rsidR="00846AA6" w:rsidRDefault="00846AA6" w:rsidP="00CA6E93">
            <w:pPr>
              <w:jc w:val="center"/>
            </w:pPr>
            <w:r>
              <w:t>1.5</w:t>
            </w:r>
          </w:p>
        </w:tc>
        <w:tc>
          <w:tcPr>
            <w:tcW w:w="1276" w:type="dxa"/>
          </w:tcPr>
          <w:p w:rsidR="00846AA6" w:rsidRDefault="00846AA6" w:rsidP="00CA6E93">
            <w:pPr>
              <w:jc w:val="center"/>
            </w:pPr>
            <w:r>
              <w:t>4</w:t>
            </w:r>
          </w:p>
        </w:tc>
      </w:tr>
      <w:tr w:rsidR="00846AA6" w:rsidTr="00CA6E93">
        <w:tc>
          <w:tcPr>
            <w:tcW w:w="959" w:type="dxa"/>
          </w:tcPr>
          <w:p w:rsidR="00846AA6" w:rsidRDefault="00846AA6" w:rsidP="00CA6E93">
            <w:r>
              <w:t>4</w:t>
            </w:r>
          </w:p>
        </w:tc>
        <w:tc>
          <w:tcPr>
            <w:tcW w:w="1276" w:type="dxa"/>
          </w:tcPr>
          <w:p w:rsidR="00846AA6" w:rsidRDefault="00846AA6" w:rsidP="00CA6E93">
            <w:pPr>
              <w:jc w:val="center"/>
            </w:pPr>
            <w:r>
              <w:t>45</w:t>
            </w:r>
          </w:p>
        </w:tc>
        <w:tc>
          <w:tcPr>
            <w:tcW w:w="1275" w:type="dxa"/>
          </w:tcPr>
          <w:p w:rsidR="00846AA6" w:rsidRDefault="00846AA6" w:rsidP="00CA6E93">
            <w:pPr>
              <w:jc w:val="center"/>
            </w:pPr>
            <w:r>
              <w:t>F</w:t>
            </w:r>
          </w:p>
        </w:tc>
        <w:tc>
          <w:tcPr>
            <w:tcW w:w="1276" w:type="dxa"/>
          </w:tcPr>
          <w:p w:rsidR="00846AA6" w:rsidRDefault="00846AA6" w:rsidP="00CA6E93">
            <w:pPr>
              <w:jc w:val="center"/>
            </w:pPr>
            <w:r>
              <w:t>L</w:t>
            </w:r>
          </w:p>
        </w:tc>
        <w:tc>
          <w:tcPr>
            <w:tcW w:w="1559" w:type="dxa"/>
          </w:tcPr>
          <w:p w:rsidR="00846AA6" w:rsidRDefault="00846AA6" w:rsidP="00CA6E93">
            <w:pPr>
              <w:jc w:val="center"/>
            </w:pPr>
            <w:r>
              <w:t>Posterior</w:t>
            </w:r>
          </w:p>
        </w:tc>
        <w:tc>
          <w:tcPr>
            <w:tcW w:w="1276" w:type="dxa"/>
          </w:tcPr>
          <w:p w:rsidR="00846AA6" w:rsidRDefault="00846AA6" w:rsidP="00CA6E93">
            <w:pPr>
              <w:jc w:val="center"/>
            </w:pPr>
            <w:r>
              <w:t>1</w:t>
            </w:r>
          </w:p>
        </w:tc>
        <w:tc>
          <w:tcPr>
            <w:tcW w:w="1276" w:type="dxa"/>
          </w:tcPr>
          <w:p w:rsidR="00846AA6" w:rsidRDefault="00846AA6" w:rsidP="00CA6E93">
            <w:pPr>
              <w:jc w:val="center"/>
            </w:pPr>
            <w:r>
              <w:t>3</w:t>
            </w:r>
          </w:p>
        </w:tc>
      </w:tr>
      <w:tr w:rsidR="00846AA6" w:rsidTr="00CA6E93">
        <w:tc>
          <w:tcPr>
            <w:tcW w:w="959" w:type="dxa"/>
          </w:tcPr>
          <w:p w:rsidR="00846AA6" w:rsidRDefault="00846AA6" w:rsidP="00CA6E93">
            <w:r>
              <w:t>5</w:t>
            </w:r>
          </w:p>
        </w:tc>
        <w:tc>
          <w:tcPr>
            <w:tcW w:w="1276" w:type="dxa"/>
          </w:tcPr>
          <w:p w:rsidR="00846AA6" w:rsidRDefault="00846AA6" w:rsidP="00CA6E93">
            <w:pPr>
              <w:jc w:val="center"/>
            </w:pPr>
            <w:r>
              <w:t>14</w:t>
            </w:r>
          </w:p>
        </w:tc>
        <w:tc>
          <w:tcPr>
            <w:tcW w:w="1275" w:type="dxa"/>
          </w:tcPr>
          <w:p w:rsidR="00846AA6" w:rsidRDefault="00846AA6" w:rsidP="00CA6E93">
            <w:pPr>
              <w:jc w:val="center"/>
            </w:pPr>
            <w:r>
              <w:t>F</w:t>
            </w:r>
          </w:p>
        </w:tc>
        <w:tc>
          <w:tcPr>
            <w:tcW w:w="1276" w:type="dxa"/>
          </w:tcPr>
          <w:p w:rsidR="00846AA6" w:rsidRDefault="00846AA6" w:rsidP="00CA6E93">
            <w:pPr>
              <w:jc w:val="center"/>
            </w:pPr>
            <w:r>
              <w:t>L</w:t>
            </w:r>
          </w:p>
        </w:tc>
        <w:tc>
          <w:tcPr>
            <w:tcW w:w="1559" w:type="dxa"/>
          </w:tcPr>
          <w:p w:rsidR="00846AA6" w:rsidRDefault="00846AA6" w:rsidP="00CA6E93">
            <w:pPr>
              <w:jc w:val="center"/>
            </w:pPr>
            <w:r>
              <w:t>Posterior</w:t>
            </w:r>
          </w:p>
        </w:tc>
        <w:tc>
          <w:tcPr>
            <w:tcW w:w="1276" w:type="dxa"/>
          </w:tcPr>
          <w:p w:rsidR="00846AA6" w:rsidRDefault="00846AA6" w:rsidP="00CA6E93">
            <w:pPr>
              <w:jc w:val="center"/>
            </w:pPr>
            <w:r>
              <w:t>1.5</w:t>
            </w:r>
          </w:p>
        </w:tc>
        <w:tc>
          <w:tcPr>
            <w:tcW w:w="1276" w:type="dxa"/>
          </w:tcPr>
          <w:p w:rsidR="00846AA6" w:rsidRDefault="00846AA6" w:rsidP="00CA6E93">
            <w:pPr>
              <w:jc w:val="center"/>
            </w:pPr>
            <w:r>
              <w:t>2</w:t>
            </w:r>
          </w:p>
        </w:tc>
      </w:tr>
      <w:tr w:rsidR="00846AA6" w:rsidTr="00CA6E93">
        <w:tc>
          <w:tcPr>
            <w:tcW w:w="959" w:type="dxa"/>
          </w:tcPr>
          <w:p w:rsidR="00846AA6" w:rsidRDefault="00846AA6" w:rsidP="00CA6E93">
            <w:r>
              <w:t>6</w:t>
            </w:r>
          </w:p>
        </w:tc>
        <w:tc>
          <w:tcPr>
            <w:tcW w:w="1276" w:type="dxa"/>
          </w:tcPr>
          <w:p w:rsidR="00846AA6" w:rsidRDefault="00846AA6" w:rsidP="00CA6E93">
            <w:pPr>
              <w:jc w:val="center"/>
            </w:pPr>
            <w:r>
              <w:t>32</w:t>
            </w:r>
          </w:p>
        </w:tc>
        <w:tc>
          <w:tcPr>
            <w:tcW w:w="1275" w:type="dxa"/>
          </w:tcPr>
          <w:p w:rsidR="00846AA6" w:rsidRDefault="00846AA6" w:rsidP="00CA6E93">
            <w:pPr>
              <w:jc w:val="center"/>
            </w:pPr>
            <w:r>
              <w:t>F</w:t>
            </w:r>
          </w:p>
        </w:tc>
        <w:tc>
          <w:tcPr>
            <w:tcW w:w="1276" w:type="dxa"/>
          </w:tcPr>
          <w:p w:rsidR="00846AA6" w:rsidRDefault="00846AA6" w:rsidP="00CA6E93">
            <w:pPr>
              <w:jc w:val="center"/>
            </w:pPr>
            <w:r>
              <w:t>U</w:t>
            </w:r>
          </w:p>
        </w:tc>
        <w:tc>
          <w:tcPr>
            <w:tcW w:w="1559" w:type="dxa"/>
          </w:tcPr>
          <w:p w:rsidR="00846AA6" w:rsidRDefault="00846AA6" w:rsidP="00CA6E93">
            <w:pPr>
              <w:jc w:val="center"/>
            </w:pPr>
            <w:r>
              <w:t>Anterior</w:t>
            </w:r>
          </w:p>
        </w:tc>
        <w:tc>
          <w:tcPr>
            <w:tcW w:w="1276" w:type="dxa"/>
          </w:tcPr>
          <w:p w:rsidR="00846AA6" w:rsidRDefault="00846AA6" w:rsidP="00CA6E93">
            <w:pPr>
              <w:jc w:val="center"/>
            </w:pPr>
            <w:r>
              <w:t>1</w:t>
            </w:r>
          </w:p>
        </w:tc>
        <w:tc>
          <w:tcPr>
            <w:tcW w:w="1276" w:type="dxa"/>
          </w:tcPr>
          <w:p w:rsidR="00846AA6" w:rsidRDefault="00846AA6" w:rsidP="00CA6E93">
            <w:pPr>
              <w:jc w:val="center"/>
            </w:pPr>
            <w:r>
              <w:t>2</w:t>
            </w:r>
          </w:p>
        </w:tc>
      </w:tr>
      <w:tr w:rsidR="00846AA6" w:rsidTr="00CA6E93">
        <w:tc>
          <w:tcPr>
            <w:tcW w:w="959" w:type="dxa"/>
          </w:tcPr>
          <w:p w:rsidR="00846AA6" w:rsidRDefault="00846AA6" w:rsidP="00CA6E93">
            <w:r>
              <w:t>7</w:t>
            </w:r>
          </w:p>
        </w:tc>
        <w:tc>
          <w:tcPr>
            <w:tcW w:w="1276" w:type="dxa"/>
          </w:tcPr>
          <w:p w:rsidR="00846AA6" w:rsidRDefault="00846AA6" w:rsidP="00CA6E93">
            <w:pPr>
              <w:jc w:val="center"/>
            </w:pPr>
            <w:r>
              <w:t>10</w:t>
            </w:r>
          </w:p>
        </w:tc>
        <w:tc>
          <w:tcPr>
            <w:tcW w:w="1275" w:type="dxa"/>
          </w:tcPr>
          <w:p w:rsidR="00846AA6" w:rsidRDefault="00846AA6" w:rsidP="00CA6E93">
            <w:pPr>
              <w:jc w:val="center"/>
            </w:pPr>
            <w:r>
              <w:t>M</w:t>
            </w:r>
          </w:p>
        </w:tc>
        <w:tc>
          <w:tcPr>
            <w:tcW w:w="1276" w:type="dxa"/>
          </w:tcPr>
          <w:p w:rsidR="00846AA6" w:rsidRDefault="00846AA6" w:rsidP="00CA6E93">
            <w:pPr>
              <w:jc w:val="center"/>
            </w:pPr>
            <w:r>
              <w:t>U</w:t>
            </w:r>
          </w:p>
        </w:tc>
        <w:tc>
          <w:tcPr>
            <w:tcW w:w="1559" w:type="dxa"/>
          </w:tcPr>
          <w:p w:rsidR="00846AA6" w:rsidRDefault="00846AA6" w:rsidP="00CA6E93">
            <w:pPr>
              <w:jc w:val="center"/>
            </w:pPr>
            <w:r>
              <w:t>Posterior</w:t>
            </w:r>
          </w:p>
        </w:tc>
        <w:tc>
          <w:tcPr>
            <w:tcW w:w="1276" w:type="dxa"/>
          </w:tcPr>
          <w:p w:rsidR="00846AA6" w:rsidRDefault="00846AA6" w:rsidP="00CA6E93">
            <w:pPr>
              <w:jc w:val="center"/>
            </w:pPr>
            <w:r>
              <w:t>2.5</w:t>
            </w:r>
          </w:p>
        </w:tc>
        <w:tc>
          <w:tcPr>
            <w:tcW w:w="1276" w:type="dxa"/>
          </w:tcPr>
          <w:p w:rsidR="00846AA6" w:rsidRDefault="00846AA6" w:rsidP="00CA6E93">
            <w:pPr>
              <w:jc w:val="center"/>
            </w:pPr>
            <w:r>
              <w:t>2</w:t>
            </w:r>
          </w:p>
        </w:tc>
      </w:tr>
      <w:tr w:rsidR="00846AA6" w:rsidTr="00CA6E93">
        <w:tc>
          <w:tcPr>
            <w:tcW w:w="959" w:type="dxa"/>
          </w:tcPr>
          <w:p w:rsidR="00846AA6" w:rsidRDefault="00846AA6" w:rsidP="00CA6E93">
            <w:r>
              <w:t>8</w:t>
            </w:r>
          </w:p>
        </w:tc>
        <w:tc>
          <w:tcPr>
            <w:tcW w:w="1276" w:type="dxa"/>
          </w:tcPr>
          <w:p w:rsidR="00846AA6" w:rsidRDefault="00846AA6" w:rsidP="00CA6E93">
            <w:pPr>
              <w:jc w:val="center"/>
            </w:pPr>
            <w:r>
              <w:t>32</w:t>
            </w:r>
          </w:p>
        </w:tc>
        <w:tc>
          <w:tcPr>
            <w:tcW w:w="1275" w:type="dxa"/>
          </w:tcPr>
          <w:p w:rsidR="00846AA6" w:rsidRDefault="00846AA6" w:rsidP="00CA6E93">
            <w:pPr>
              <w:jc w:val="center"/>
            </w:pPr>
            <w:r>
              <w:t>F</w:t>
            </w:r>
          </w:p>
        </w:tc>
        <w:tc>
          <w:tcPr>
            <w:tcW w:w="1276" w:type="dxa"/>
          </w:tcPr>
          <w:p w:rsidR="00846AA6" w:rsidRDefault="00846AA6" w:rsidP="00CA6E93">
            <w:pPr>
              <w:jc w:val="center"/>
            </w:pPr>
            <w:r>
              <w:t>L</w:t>
            </w:r>
          </w:p>
        </w:tc>
        <w:tc>
          <w:tcPr>
            <w:tcW w:w="1559" w:type="dxa"/>
          </w:tcPr>
          <w:p w:rsidR="00846AA6" w:rsidRDefault="00846AA6" w:rsidP="00CA6E93">
            <w:pPr>
              <w:jc w:val="center"/>
            </w:pPr>
            <w:r>
              <w:t>Anterior</w:t>
            </w:r>
          </w:p>
        </w:tc>
        <w:tc>
          <w:tcPr>
            <w:tcW w:w="1276" w:type="dxa"/>
          </w:tcPr>
          <w:p w:rsidR="00846AA6" w:rsidRDefault="00846AA6" w:rsidP="00CA6E93">
            <w:pPr>
              <w:jc w:val="center"/>
            </w:pPr>
            <w:r>
              <w:t>1.5</w:t>
            </w:r>
          </w:p>
        </w:tc>
        <w:tc>
          <w:tcPr>
            <w:tcW w:w="1276" w:type="dxa"/>
          </w:tcPr>
          <w:p w:rsidR="00846AA6" w:rsidRDefault="00846AA6" w:rsidP="00CA6E93">
            <w:pPr>
              <w:jc w:val="center"/>
            </w:pPr>
            <w:r>
              <w:t>6</w:t>
            </w:r>
          </w:p>
        </w:tc>
      </w:tr>
      <w:tr w:rsidR="00846AA6" w:rsidTr="00CA6E93">
        <w:tc>
          <w:tcPr>
            <w:tcW w:w="959" w:type="dxa"/>
          </w:tcPr>
          <w:p w:rsidR="00846AA6" w:rsidRDefault="00846AA6" w:rsidP="00CA6E93">
            <w:r>
              <w:t>9</w:t>
            </w:r>
          </w:p>
        </w:tc>
        <w:tc>
          <w:tcPr>
            <w:tcW w:w="1276" w:type="dxa"/>
          </w:tcPr>
          <w:p w:rsidR="00846AA6" w:rsidRDefault="00846AA6" w:rsidP="00CA6E93">
            <w:pPr>
              <w:jc w:val="center"/>
            </w:pPr>
            <w:r>
              <w:t>46</w:t>
            </w:r>
          </w:p>
        </w:tc>
        <w:tc>
          <w:tcPr>
            <w:tcW w:w="1275" w:type="dxa"/>
          </w:tcPr>
          <w:p w:rsidR="00846AA6" w:rsidRDefault="00846AA6" w:rsidP="00CA6E93">
            <w:pPr>
              <w:jc w:val="center"/>
            </w:pPr>
            <w:r>
              <w:t>M</w:t>
            </w:r>
          </w:p>
        </w:tc>
        <w:tc>
          <w:tcPr>
            <w:tcW w:w="1276" w:type="dxa"/>
          </w:tcPr>
          <w:p w:rsidR="00846AA6" w:rsidRDefault="00846AA6" w:rsidP="00CA6E93">
            <w:pPr>
              <w:jc w:val="center"/>
            </w:pPr>
            <w:r>
              <w:t>U</w:t>
            </w:r>
          </w:p>
        </w:tc>
        <w:tc>
          <w:tcPr>
            <w:tcW w:w="1559" w:type="dxa"/>
          </w:tcPr>
          <w:p w:rsidR="00846AA6" w:rsidRDefault="00846AA6" w:rsidP="00CA6E93">
            <w:pPr>
              <w:jc w:val="center"/>
            </w:pPr>
            <w:r>
              <w:t>Posterior</w:t>
            </w:r>
          </w:p>
        </w:tc>
        <w:tc>
          <w:tcPr>
            <w:tcW w:w="1276" w:type="dxa"/>
          </w:tcPr>
          <w:p w:rsidR="00846AA6" w:rsidRDefault="00846AA6" w:rsidP="00CA6E93">
            <w:pPr>
              <w:jc w:val="center"/>
            </w:pPr>
            <w:r>
              <w:t>2.5</w:t>
            </w:r>
          </w:p>
        </w:tc>
        <w:tc>
          <w:tcPr>
            <w:tcW w:w="1276" w:type="dxa"/>
          </w:tcPr>
          <w:p w:rsidR="00846AA6" w:rsidRDefault="00846AA6" w:rsidP="00CA6E93">
            <w:pPr>
              <w:jc w:val="center"/>
            </w:pPr>
            <w:r>
              <w:t>20</w:t>
            </w:r>
          </w:p>
        </w:tc>
      </w:tr>
      <w:tr w:rsidR="00846AA6" w:rsidTr="00CA6E93">
        <w:tc>
          <w:tcPr>
            <w:tcW w:w="959" w:type="dxa"/>
          </w:tcPr>
          <w:p w:rsidR="00846AA6" w:rsidRDefault="00846AA6" w:rsidP="00CA6E93">
            <w:r>
              <w:t>10</w:t>
            </w:r>
          </w:p>
        </w:tc>
        <w:tc>
          <w:tcPr>
            <w:tcW w:w="1276" w:type="dxa"/>
          </w:tcPr>
          <w:p w:rsidR="00846AA6" w:rsidRDefault="00846AA6" w:rsidP="00CA6E93">
            <w:pPr>
              <w:jc w:val="center"/>
            </w:pPr>
            <w:r>
              <w:t>15</w:t>
            </w:r>
          </w:p>
        </w:tc>
        <w:tc>
          <w:tcPr>
            <w:tcW w:w="1275" w:type="dxa"/>
          </w:tcPr>
          <w:p w:rsidR="00846AA6" w:rsidRDefault="00846AA6" w:rsidP="00CA6E93">
            <w:pPr>
              <w:jc w:val="center"/>
            </w:pPr>
            <w:r>
              <w:t>F</w:t>
            </w:r>
          </w:p>
        </w:tc>
        <w:tc>
          <w:tcPr>
            <w:tcW w:w="1276" w:type="dxa"/>
          </w:tcPr>
          <w:p w:rsidR="00846AA6" w:rsidRDefault="00846AA6" w:rsidP="00CA6E93">
            <w:pPr>
              <w:jc w:val="center"/>
            </w:pPr>
            <w:r>
              <w:t>U</w:t>
            </w:r>
          </w:p>
        </w:tc>
        <w:tc>
          <w:tcPr>
            <w:tcW w:w="1559" w:type="dxa"/>
          </w:tcPr>
          <w:p w:rsidR="00846AA6" w:rsidRDefault="00846AA6" w:rsidP="00CA6E93">
            <w:pPr>
              <w:jc w:val="center"/>
            </w:pPr>
            <w:r>
              <w:t>Anterior</w:t>
            </w:r>
          </w:p>
        </w:tc>
        <w:tc>
          <w:tcPr>
            <w:tcW w:w="1276" w:type="dxa"/>
          </w:tcPr>
          <w:p w:rsidR="00846AA6" w:rsidRDefault="00846AA6" w:rsidP="00CA6E93">
            <w:pPr>
              <w:jc w:val="center"/>
            </w:pPr>
            <w:r>
              <w:t>1</w:t>
            </w:r>
          </w:p>
        </w:tc>
        <w:tc>
          <w:tcPr>
            <w:tcW w:w="1276" w:type="dxa"/>
          </w:tcPr>
          <w:p w:rsidR="00846AA6" w:rsidRDefault="00846AA6" w:rsidP="00CA6E93">
            <w:pPr>
              <w:jc w:val="center"/>
            </w:pPr>
            <w:r>
              <w:t>1</w:t>
            </w:r>
          </w:p>
        </w:tc>
      </w:tr>
      <w:tr w:rsidR="00846AA6" w:rsidTr="00CA6E93">
        <w:trPr>
          <w:trHeight w:val="494"/>
        </w:trPr>
        <w:tc>
          <w:tcPr>
            <w:tcW w:w="959" w:type="dxa"/>
          </w:tcPr>
          <w:p w:rsidR="00846AA6" w:rsidRDefault="00846AA6" w:rsidP="00CA6E93"/>
        </w:tc>
        <w:tc>
          <w:tcPr>
            <w:tcW w:w="1276" w:type="dxa"/>
          </w:tcPr>
          <w:p w:rsidR="00846AA6" w:rsidRDefault="00846AA6" w:rsidP="00CA6E93">
            <w:pPr>
              <w:jc w:val="center"/>
            </w:pPr>
            <w:r>
              <w:t>Mean</w:t>
            </w:r>
          </w:p>
          <w:p w:rsidR="00846AA6" w:rsidRDefault="00846AA6" w:rsidP="00CA6E93">
            <w:pPr>
              <w:jc w:val="center"/>
            </w:pPr>
            <w:r>
              <w:t>31.6</w:t>
            </w:r>
          </w:p>
        </w:tc>
        <w:tc>
          <w:tcPr>
            <w:tcW w:w="1275" w:type="dxa"/>
          </w:tcPr>
          <w:p w:rsidR="00846AA6" w:rsidRDefault="00846AA6" w:rsidP="00CA6E93">
            <w:pPr>
              <w:jc w:val="center"/>
            </w:pPr>
            <w:r>
              <w:t>F/M</w:t>
            </w:r>
          </w:p>
          <w:p w:rsidR="00846AA6" w:rsidRDefault="00846AA6" w:rsidP="00CA6E93">
            <w:pPr>
              <w:jc w:val="center"/>
            </w:pPr>
            <w:r>
              <w:t>5:5</w:t>
            </w:r>
          </w:p>
        </w:tc>
        <w:tc>
          <w:tcPr>
            <w:tcW w:w="1276" w:type="dxa"/>
          </w:tcPr>
          <w:p w:rsidR="00846AA6" w:rsidRDefault="00846AA6" w:rsidP="00CA6E93">
            <w:pPr>
              <w:jc w:val="center"/>
            </w:pPr>
            <w:r>
              <w:t>U/L</w:t>
            </w:r>
          </w:p>
          <w:p w:rsidR="00846AA6" w:rsidRDefault="00846AA6" w:rsidP="00CA6E93">
            <w:pPr>
              <w:jc w:val="center"/>
            </w:pPr>
            <w:r>
              <w:t>5:5</w:t>
            </w:r>
          </w:p>
        </w:tc>
        <w:tc>
          <w:tcPr>
            <w:tcW w:w="1559" w:type="dxa"/>
          </w:tcPr>
          <w:p w:rsidR="00846AA6" w:rsidRDefault="00846AA6" w:rsidP="00CA6E93">
            <w:pPr>
              <w:jc w:val="center"/>
            </w:pPr>
            <w:r>
              <w:t>P/A</w:t>
            </w:r>
          </w:p>
          <w:p w:rsidR="00846AA6" w:rsidRDefault="00846AA6" w:rsidP="00CA6E93">
            <w:pPr>
              <w:jc w:val="center"/>
            </w:pPr>
            <w:r>
              <w:t>6:4</w:t>
            </w:r>
          </w:p>
        </w:tc>
        <w:tc>
          <w:tcPr>
            <w:tcW w:w="1276" w:type="dxa"/>
          </w:tcPr>
          <w:p w:rsidR="00846AA6" w:rsidRDefault="00846AA6" w:rsidP="00CA6E93">
            <w:pPr>
              <w:jc w:val="center"/>
            </w:pPr>
            <w:r>
              <w:t>Mean</w:t>
            </w:r>
          </w:p>
          <w:p w:rsidR="00846AA6" w:rsidRDefault="00846AA6" w:rsidP="00CA6E93">
            <w:pPr>
              <w:jc w:val="center"/>
            </w:pPr>
            <w:r>
              <w:t>1.5</w:t>
            </w:r>
          </w:p>
        </w:tc>
        <w:tc>
          <w:tcPr>
            <w:tcW w:w="1276" w:type="dxa"/>
          </w:tcPr>
          <w:p w:rsidR="00846AA6" w:rsidRDefault="00846AA6" w:rsidP="00CA6E93">
            <w:pPr>
              <w:jc w:val="center"/>
            </w:pPr>
            <w:r>
              <w:t>Mean</w:t>
            </w:r>
          </w:p>
          <w:p w:rsidR="00846AA6" w:rsidRDefault="00846AA6" w:rsidP="00CA6E93">
            <w:pPr>
              <w:jc w:val="center"/>
            </w:pPr>
            <w:r>
              <w:t>4.7</w:t>
            </w:r>
          </w:p>
        </w:tc>
      </w:tr>
      <w:tr w:rsidR="00846AA6" w:rsidTr="00CA6E93">
        <w:trPr>
          <w:trHeight w:val="625"/>
        </w:trPr>
        <w:tc>
          <w:tcPr>
            <w:tcW w:w="8897" w:type="dxa"/>
            <w:gridSpan w:val="7"/>
          </w:tcPr>
          <w:p w:rsidR="00846AA6" w:rsidRDefault="00846AA6" w:rsidP="00CA6E93">
            <w:pPr>
              <w:rPr>
                <w:rFonts w:ascii="Times New Roman" w:hAnsi="Times New Roman" w:cs="Times New Roman"/>
                <w:i/>
                <w:iCs/>
                <w:sz w:val="16"/>
                <w:szCs w:val="16"/>
              </w:rPr>
            </w:pPr>
          </w:p>
          <w:p w:rsidR="00846AA6" w:rsidRPr="00776F47" w:rsidRDefault="00846AA6" w:rsidP="00CA6E93">
            <w:r w:rsidRPr="00776F47">
              <w:rPr>
                <w:rFonts w:ascii="Times New Roman" w:hAnsi="Times New Roman" w:cs="Times New Roman"/>
                <w:iCs/>
                <w:sz w:val="16"/>
                <w:szCs w:val="16"/>
              </w:rPr>
              <w:t>F: female, M: male, U: upper, L: lower, A: anterior, P: posterior, TSO: time-of-onset.</w:t>
            </w:r>
          </w:p>
        </w:tc>
      </w:tr>
    </w:tbl>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CF641E" w:rsidP="002A01A1">
      <w:pPr>
        <w:autoSpaceDE w:val="0"/>
        <w:autoSpaceDN w:val="0"/>
        <w:adjustRightInd w:val="0"/>
        <w:spacing w:line="480" w:lineRule="auto"/>
        <w:jc w:val="both"/>
        <w:rPr>
          <w:rFonts w:ascii="Times New Roman" w:eastAsia="Palatino-Roman" w:hAnsi="Times New Roman" w:cs="Times New Roman"/>
        </w:rPr>
      </w:pPr>
      <w:r>
        <w:rPr>
          <w:rFonts w:ascii="Times New Roman" w:eastAsia="Palatino-Roman" w:hAnsi="Times New Roman" w:cs="Times New Roman"/>
        </w:rPr>
        <w:t>Figure Legends:</w:t>
      </w:r>
    </w:p>
    <w:p w:rsidR="00CF641E" w:rsidRDefault="00CF641E" w:rsidP="002A01A1">
      <w:pPr>
        <w:autoSpaceDE w:val="0"/>
        <w:autoSpaceDN w:val="0"/>
        <w:adjustRightInd w:val="0"/>
        <w:spacing w:line="480" w:lineRule="auto"/>
        <w:jc w:val="both"/>
        <w:rPr>
          <w:rFonts w:ascii="Times New Roman" w:eastAsia="Palatino-Roman" w:hAnsi="Times New Roman" w:cs="Times New Roman"/>
        </w:rPr>
      </w:pPr>
      <w:r>
        <w:rPr>
          <w:rFonts w:ascii="Times New Roman" w:eastAsia="Palatino-Roman" w:hAnsi="Times New Roman" w:cs="Times New Roman"/>
        </w:rPr>
        <w:t>Figure 1 : The lesions in the upper jaw</w:t>
      </w:r>
    </w:p>
    <w:p w:rsidR="00CF641E" w:rsidRDefault="00CF641E" w:rsidP="00CF641E">
      <w:pPr>
        <w:autoSpaceDE w:val="0"/>
        <w:autoSpaceDN w:val="0"/>
        <w:adjustRightInd w:val="0"/>
        <w:spacing w:line="480" w:lineRule="auto"/>
        <w:jc w:val="both"/>
        <w:rPr>
          <w:rFonts w:ascii="Times New Roman" w:eastAsia="Palatino-Roman" w:hAnsi="Times New Roman" w:cs="Times New Roman"/>
        </w:rPr>
      </w:pPr>
      <w:r>
        <w:rPr>
          <w:rFonts w:ascii="Times New Roman" w:eastAsia="Palatino-Roman" w:hAnsi="Times New Roman" w:cs="Times New Roman"/>
        </w:rPr>
        <w:t>Figure 2 : The lesions in the lower jaw</w:t>
      </w:r>
    </w:p>
    <w:p w:rsidR="00CF641E" w:rsidRDefault="00CF641E" w:rsidP="002A01A1">
      <w:pPr>
        <w:autoSpaceDE w:val="0"/>
        <w:autoSpaceDN w:val="0"/>
        <w:adjustRightInd w:val="0"/>
        <w:spacing w:line="480" w:lineRule="auto"/>
        <w:jc w:val="both"/>
        <w:rPr>
          <w:rFonts w:ascii="Times New Roman" w:eastAsia="Palatino-Roman" w:hAnsi="Times New Roman" w:cs="Times New Roman"/>
        </w:rPr>
      </w:pPr>
    </w:p>
    <w:p w:rsidR="00CF641E" w:rsidRDefault="00CF641E"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Default="00846AA6" w:rsidP="002A01A1">
      <w:pPr>
        <w:autoSpaceDE w:val="0"/>
        <w:autoSpaceDN w:val="0"/>
        <w:adjustRightInd w:val="0"/>
        <w:spacing w:line="480" w:lineRule="auto"/>
        <w:jc w:val="both"/>
        <w:rPr>
          <w:rFonts w:ascii="Times New Roman" w:eastAsia="Palatino-Roman" w:hAnsi="Times New Roman" w:cs="Times New Roman"/>
        </w:rPr>
      </w:pPr>
    </w:p>
    <w:p w:rsidR="00846AA6" w:rsidRPr="00846AA6" w:rsidRDefault="00846AA6" w:rsidP="00846AA6">
      <w:pPr>
        <w:jc w:val="center"/>
        <w:rPr>
          <w:rFonts w:ascii="Times New Roman" w:hAnsi="Times New Roman" w:cs="Times New Roman"/>
          <w:b/>
          <w:sz w:val="28"/>
        </w:rPr>
      </w:pPr>
      <w:r w:rsidRPr="00846AA6">
        <w:rPr>
          <w:rFonts w:ascii="Times New Roman" w:hAnsi="Times New Roman" w:cs="Times New Roman"/>
          <w:b/>
          <w:sz w:val="28"/>
        </w:rPr>
        <w:t>REFERENCES</w:t>
      </w:r>
    </w:p>
    <w:p w:rsidR="00846AA6" w:rsidRDefault="00846AA6" w:rsidP="00846AA6"/>
    <w:p w:rsidR="00846AA6" w:rsidRDefault="00846AA6" w:rsidP="00846AA6"/>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 xml:space="preserve">1- </w:t>
      </w:r>
      <w:r>
        <w:rPr>
          <w:rFonts w:ascii="Times New Roman" w:hAnsi="Times New Roman" w:cs="Times New Roman"/>
        </w:rPr>
        <w:t xml:space="preserve"> </w:t>
      </w:r>
      <w:r w:rsidRPr="005F281E">
        <w:rPr>
          <w:rFonts w:ascii="Times New Roman" w:hAnsi="Times New Roman" w:cs="Times New Roman"/>
        </w:rPr>
        <w:t>Laskaris G: Colour atlas of oral diseases. 4th ed. New York: Thieme publishers; 1997. p. 400-1.</w:t>
      </w:r>
    </w:p>
    <w:p w:rsidR="00846AA6" w:rsidRPr="005F281E" w:rsidRDefault="00846AA6" w:rsidP="00846AA6">
      <w:pPr>
        <w:autoSpaceDE w:val="0"/>
        <w:autoSpaceDN w:val="0"/>
        <w:adjustRightInd w:val="0"/>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 Bhaskar SN, Jacoway JR. Pyogenic granulom: clinical features, incidence, histology, and result of treatment: report of 242 cases. J Oral Surg 1966; 24(5): 391-8.</w:t>
      </w:r>
    </w:p>
    <w:p w:rsidR="00846AA6" w:rsidRPr="005F281E" w:rsidRDefault="00846AA6" w:rsidP="00846AA6">
      <w:pPr>
        <w:autoSpaceDE w:val="0"/>
        <w:autoSpaceDN w:val="0"/>
        <w:adjustRightInd w:val="0"/>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3- Daley TD, Wysocki GP, Wysocki PD, Wysocki DM. The major epulides: clinicopathological correlations. J Can Dent Assoc 1990;56:627-30</w:t>
      </w:r>
    </w:p>
    <w:p w:rsidR="00846AA6" w:rsidRPr="005F281E" w:rsidRDefault="00846AA6" w:rsidP="00846AA6">
      <w:pPr>
        <w:autoSpaceDE w:val="0"/>
        <w:autoSpaceDN w:val="0"/>
        <w:adjustRightInd w:val="0"/>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4- Angelopoulos AP: Pyogenic granuloma of the oral cavity: Statistical analysis of its clinical features. J Oral Surg 29:840, 1971</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5- Neville BW, Damm DD, Allen CM, Bouquot JE. Oral and Maxillofacial Surgery. 2nd ed. Philadelphia: Saunders; 2002. p. 447-9.</w:t>
      </w: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6- Regezi JA, Sciubba JJ, Jordan RC. Oral Pathology: Clinical Pathological Considerations. 4th ed.  hiladelphia: WB Saunders; 2003. p. 115-6.</w:t>
      </w:r>
    </w:p>
    <w:p w:rsidR="00846AA6" w:rsidRPr="005F281E" w:rsidRDefault="00846AA6" w:rsidP="00846AA6">
      <w:pPr>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7- Lin RL, Janniger CK. Pyogenic granuloma. Cutis 2004;74:229-33.</w:t>
      </w:r>
    </w:p>
    <w:p w:rsidR="00846AA6" w:rsidRPr="005F281E" w:rsidRDefault="00846AA6" w:rsidP="00846AA6">
      <w:pPr>
        <w:autoSpaceDE w:val="0"/>
        <w:autoSpaceDN w:val="0"/>
        <w:adjustRightInd w:val="0"/>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 xml:space="preserve"> 8- Shenoy SS, Dinkar AD. Pyogenic granuloma associated with bone loss in an eight-year-old child: A case report. J Indian Soc Pedod Prev Dent 2006; 24:201-3.</w:t>
      </w:r>
    </w:p>
    <w:p w:rsidR="00846AA6" w:rsidRPr="005F281E" w:rsidRDefault="00846AA6" w:rsidP="00846AA6">
      <w:pPr>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hAnsi="Times New Roman" w:cs="Times New Roman"/>
        </w:rPr>
        <w:t>9- Shafer WG, Hine MK, Levy BM: A textbook of oral pathology. 4th ed. Philadelphia: WB Saunders; 1983. p. 359-60.</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10- Eversole LR. Clinical Outline of Oral Pathology: Diagnosis and Treatment. 3rd ed. Hamilton: BC Decker; 2002. p. 113-4.</w:t>
      </w: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lastRenderedPageBreak/>
        <w:t>11- Tumini V, Di Placido G, D’Archivio D, Del Giglio Matarazzo A. Hyperplastic gingival lesions in pregnancy. I. Epidemiology, pathology and clinical aspects. Minerva Stomatol 1998;47:159-67.</w:t>
      </w:r>
    </w:p>
    <w:p w:rsidR="00846AA6" w:rsidRPr="005F281E" w:rsidRDefault="00846AA6" w:rsidP="00846AA6">
      <w:pPr>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12- Calonje E, Wilson-Jones E. Vascular tumors: Tumors and tumor like conditions of blood vessels and lymphatics. In: Elder D, Elenitsas R, Jaworsky C, Johnson B Jr, editors. Lever’s Histopatology of the Skin. 8th ed. Philadephia: Lippicott-Raven;1997. p. 895.</w:t>
      </w: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13- Raut A, Huryn J, Pollack A, Zlotolow I. Unusual gingival presentation of post-transplantation  ymphoproliferative disorder: A case report and review of the literature. Oral Surg Oral Med Oral Pathol Oral Radiol Endod 2000;90:436-41.</w:t>
      </w: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14- Kamal R, Dahiya P, Puri A. Oral pyogenic granuloma: Various concepts of etiopathogenesis. J Oral Maxillofac Pathol 2012;16:79-82.</w:t>
      </w: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15- Taira JW, Hill TL, Everet t MA. Lobular capillary hemangioma (pyogenic granuloma) with satellitosis. J Am Acad Dermatol 1992;27:297-300.</w:t>
      </w:r>
    </w:p>
    <w:p w:rsidR="00846AA6" w:rsidRPr="005F281E" w:rsidRDefault="00846AA6" w:rsidP="00846AA6">
      <w:pPr>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16- Jafarzadeh H, Sanatkhani M, Mohtasham N. Oral pyogenic granuloma: A review. J Oral Sci 2006;48:167-75.</w:t>
      </w:r>
    </w:p>
    <w:p w:rsidR="00846AA6" w:rsidRPr="005F281E" w:rsidRDefault="00846AA6" w:rsidP="00846AA6">
      <w:pPr>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17- Steelman R, Holmes D. Pregnancy tumor in a 16-year-old: Case report and treatment considerations. J Clin Pediatr Dent 1992;16:217-8.</w:t>
      </w: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18- Daley TD, Nartey NO, Wysocki GP. Pregnancy tumor: An analysis. Oral Surg Oral Med Oral Pathol 1991;72:196-9.</w:t>
      </w:r>
    </w:p>
    <w:p w:rsidR="00846AA6" w:rsidRPr="005F281E" w:rsidRDefault="00846AA6" w:rsidP="00846AA6">
      <w:pPr>
        <w:spacing w:line="360" w:lineRule="auto"/>
        <w:jc w:val="both"/>
        <w:rPr>
          <w:rFonts w:ascii="Times New Roman" w:eastAsia="Palatino-Roman" w:hAnsi="Times New Roman" w:cs="Times New Roman"/>
        </w:rPr>
      </w:pPr>
    </w:p>
    <w:p w:rsidR="00846AA6" w:rsidRPr="005F281E" w:rsidRDefault="00846AA6" w:rsidP="00846AA6">
      <w:pPr>
        <w:autoSpaceDE w:val="0"/>
        <w:autoSpaceDN w:val="0"/>
        <w:adjustRightInd w:val="0"/>
        <w:spacing w:line="360" w:lineRule="auto"/>
        <w:jc w:val="both"/>
        <w:rPr>
          <w:rFonts w:ascii="Times New Roman" w:eastAsia="Palatino-Roman" w:hAnsi="Times New Roman" w:cs="Times New Roman"/>
        </w:rPr>
      </w:pPr>
      <w:r w:rsidRPr="005F281E">
        <w:rPr>
          <w:rFonts w:ascii="Times New Roman" w:eastAsia="Palatino-Roman" w:hAnsi="Times New Roman" w:cs="Times New Roman"/>
        </w:rPr>
        <w:t>19- Bouquot JE, Nikai H. Lesions of the oral cavity. In: Gnepp DR, editor. Diagnostic Surgical Pathology of Head and Neck. Philadelphia: WB Saunders; 2001. p. 141-233.</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20- Patil K, Mahima VG, Lahari K. Extragingival pyogenic granuloma. Indian J Dent Res 2006;17:199</w:t>
      </w:r>
      <w:r w:rsidRPr="005F281E">
        <w:rPr>
          <w:rFonts w:ascii="Times New Roman" w:eastAsia="MS Mincho" w:hAnsi="MS Mincho" w:cs="Times New Roman"/>
        </w:rPr>
        <w:t>-</w:t>
      </w:r>
      <w:r w:rsidRPr="005F281E">
        <w:rPr>
          <w:rFonts w:ascii="Times New Roman" w:hAnsi="Times New Roman" w:cs="Times New Roman"/>
        </w:rPr>
        <w:t>202.</w:t>
      </w:r>
    </w:p>
    <w:p w:rsidR="00846AA6" w:rsidRPr="005F281E" w:rsidRDefault="00846AA6" w:rsidP="00846AA6">
      <w:pPr>
        <w:autoSpaceDE w:val="0"/>
        <w:autoSpaceDN w:val="0"/>
        <w:adjustRightInd w:val="0"/>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21- Marx RE, Stern D. Oral and Maxillofacial Pathology: A rationale for diagnosis and treatment. Chicago. Quintessence Publishing Co; 2003. p. 21</w:t>
      </w:r>
      <w:r w:rsidRPr="005F281E">
        <w:rPr>
          <w:rFonts w:ascii="Times New Roman" w:eastAsia="MS Mincho" w:hAnsi="MS Mincho" w:cs="Times New Roman"/>
        </w:rPr>
        <w:t>-</w:t>
      </w:r>
      <w:r w:rsidRPr="005F281E">
        <w:rPr>
          <w:rFonts w:ascii="Times New Roman" w:hAnsi="Times New Roman" w:cs="Times New Roman"/>
        </w:rPr>
        <w:t>3.</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22- Davies MG, Barton SP, Atai F, Marks R. The abnormal dermis in pyogenic granuloma. Histochemical and ultrastructural observations. J Am Acad Dermatol 1980;2:132</w:t>
      </w:r>
      <w:r w:rsidRPr="005F281E">
        <w:rPr>
          <w:rFonts w:ascii="Times New Roman" w:eastAsia="MS Mincho" w:hAnsi="MS Mincho" w:cs="Times New Roman"/>
        </w:rPr>
        <w:t>-</w:t>
      </w:r>
      <w:r w:rsidRPr="005F281E">
        <w:rPr>
          <w:rFonts w:ascii="Times New Roman" w:hAnsi="Times New Roman" w:cs="Times New Roman"/>
        </w:rPr>
        <w:t>42.</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eastAsia="Palatino-Roman" w:hAnsi="Times New Roman" w:cs="Times New Roman"/>
        </w:rPr>
        <w:t>23- Parisi E, Glick PH, Glick M. Recurrent intraoral pyogenic granuloma with satellitosis treated with corticosteroids. Oral Dis 2006;12:70-2.</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24- Vilmann A, Vilmann P, Vilmann H. Pyogenic granuloma: Evaluation of oral conditions. Br J Oral Maxillofac Surg 1986;24:376</w:t>
      </w:r>
      <w:r w:rsidRPr="005F281E">
        <w:rPr>
          <w:rFonts w:ascii="Times New Roman" w:eastAsia="MS Mincho" w:hAnsi="MS Mincho" w:cs="Times New Roman"/>
        </w:rPr>
        <w:t>-</w:t>
      </w:r>
      <w:r w:rsidRPr="005F281E">
        <w:rPr>
          <w:rFonts w:ascii="Times New Roman" w:hAnsi="Times New Roman" w:cs="Times New Roman"/>
        </w:rPr>
        <w:t>82.</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25- Sapp JP, Eversole LR, Wyoscki GP. Contemporary oral and maxillofacial pathology. 2nd ed. Missouri: Mosby; 1997. p. 318</w:t>
      </w:r>
      <w:r w:rsidRPr="005F281E">
        <w:rPr>
          <w:rFonts w:ascii="Times New Roman" w:eastAsia="MS Mincho" w:hAnsi="MS Mincho" w:cs="Times New Roman"/>
        </w:rPr>
        <w:t>-</w:t>
      </w:r>
      <w:r w:rsidRPr="005F281E">
        <w:rPr>
          <w:rFonts w:ascii="Times New Roman" w:hAnsi="Times New Roman" w:cs="Times New Roman"/>
        </w:rPr>
        <w:t>22.</w:t>
      </w:r>
    </w:p>
    <w:p w:rsidR="00846AA6" w:rsidRPr="005F281E" w:rsidRDefault="00846AA6" w:rsidP="00846AA6">
      <w:pPr>
        <w:autoSpaceDE w:val="0"/>
        <w:autoSpaceDN w:val="0"/>
        <w:adjustRightInd w:val="0"/>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26- Lawoyin JO, Arotiba JT, Dosumu OO. Oral pyogenic granuloma: A review of 38 cases from Ibadan, Nigeria. Br J Oral Maxillofac Surg 1997;35:185</w:t>
      </w:r>
      <w:r w:rsidRPr="005F281E">
        <w:rPr>
          <w:rFonts w:ascii="Times New Roman" w:eastAsia="MS Mincho" w:hAnsi="MS Mincho" w:cs="Times New Roman"/>
        </w:rPr>
        <w:t>-</w:t>
      </w:r>
      <w:r w:rsidRPr="005F281E">
        <w:rPr>
          <w:rFonts w:ascii="Times New Roman" w:hAnsi="Times New Roman" w:cs="Times New Roman"/>
        </w:rPr>
        <w:t>9.</w:t>
      </w:r>
    </w:p>
    <w:p w:rsidR="00846AA6" w:rsidRPr="005F281E" w:rsidRDefault="00846AA6" w:rsidP="00846AA6">
      <w:pPr>
        <w:spacing w:line="360" w:lineRule="auto"/>
        <w:jc w:val="both"/>
        <w:rPr>
          <w:rFonts w:ascii="Times New Roman" w:hAnsi="Times New Roman" w:cs="Times New Roman"/>
        </w:rPr>
      </w:pPr>
    </w:p>
    <w:p w:rsidR="00846AA6" w:rsidRPr="005F281E" w:rsidRDefault="00846AA6" w:rsidP="00846AA6">
      <w:pPr>
        <w:autoSpaceDE w:val="0"/>
        <w:autoSpaceDN w:val="0"/>
        <w:adjustRightInd w:val="0"/>
        <w:spacing w:line="360" w:lineRule="auto"/>
        <w:jc w:val="both"/>
        <w:rPr>
          <w:rFonts w:ascii="Times New Roman" w:hAnsi="Times New Roman" w:cs="Times New Roman"/>
        </w:rPr>
      </w:pPr>
      <w:r w:rsidRPr="005F281E">
        <w:rPr>
          <w:rFonts w:ascii="Times New Roman" w:hAnsi="Times New Roman" w:cs="Times New Roman"/>
        </w:rPr>
        <w:t>27-  Al</w:t>
      </w:r>
      <w:r w:rsidRPr="005F281E">
        <w:rPr>
          <w:rFonts w:ascii="Times New Roman" w:eastAsia="MS Mincho" w:hAnsi="MS Mincho" w:cs="Times New Roman"/>
        </w:rPr>
        <w:t>-</w:t>
      </w:r>
      <w:r w:rsidRPr="005F281E">
        <w:rPr>
          <w:rFonts w:ascii="Times New Roman" w:hAnsi="Times New Roman" w:cs="Times New Roman"/>
        </w:rPr>
        <w:t>Khateeb T, Ababneh K. Oral Pyogenic granuloma in Jordanians: A retrospective analysis of 108 cases. J Oral Maxillofac Surg 2003;61:1285</w:t>
      </w:r>
      <w:r w:rsidRPr="005F281E">
        <w:rPr>
          <w:rFonts w:ascii="Times New Roman" w:eastAsia="MS Mincho" w:hAnsi="MS Mincho" w:cs="Times New Roman"/>
        </w:rPr>
        <w:t>-</w:t>
      </w:r>
      <w:r w:rsidRPr="005F281E">
        <w:rPr>
          <w:rFonts w:ascii="Times New Roman" w:hAnsi="Times New Roman" w:cs="Times New Roman"/>
        </w:rPr>
        <w:t>8.</w:t>
      </w:r>
    </w:p>
    <w:p w:rsidR="00F82B3A" w:rsidRPr="002A01A1" w:rsidRDefault="006E7150" w:rsidP="002A01A1">
      <w:pPr>
        <w:autoSpaceDE w:val="0"/>
        <w:autoSpaceDN w:val="0"/>
        <w:adjustRightInd w:val="0"/>
        <w:spacing w:line="480" w:lineRule="auto"/>
        <w:jc w:val="both"/>
        <w:rPr>
          <w:rFonts w:ascii="Times New Roman" w:hAnsi="Times New Roman" w:cs="Times New Roman"/>
        </w:rPr>
      </w:pPr>
      <w:r w:rsidRPr="002A01A1">
        <w:rPr>
          <w:rFonts w:ascii="Times New Roman" w:hAnsi="Times New Roman" w:cs="Times New Roman"/>
          <w:b/>
          <w:bCs/>
          <w:iCs/>
        </w:rPr>
        <w:tab/>
      </w:r>
    </w:p>
    <w:sectPr w:rsidR="00F82B3A" w:rsidRPr="002A01A1" w:rsidSect="006249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altName w:val="Times New Roman"/>
    <w:panose1 w:val="02020603050405020304"/>
    <w:charset w:val="A2"/>
    <w:family w:val="roman"/>
    <w:pitch w:val="variable"/>
    <w:sig w:usb0="E0002AEF" w:usb1="C0007841" w:usb2="00000009" w:usb3="00000000" w:csb0="000001FF" w:csb1="00000000"/>
  </w:font>
  <w:font w:name="Palatino-Roman">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82B3A"/>
    <w:rsid w:val="00023848"/>
    <w:rsid w:val="00071C48"/>
    <w:rsid w:val="000E3921"/>
    <w:rsid w:val="00130B55"/>
    <w:rsid w:val="00177BDD"/>
    <w:rsid w:val="001A3A40"/>
    <w:rsid w:val="001B33BE"/>
    <w:rsid w:val="001D14DB"/>
    <w:rsid w:val="001F6E6C"/>
    <w:rsid w:val="002213D1"/>
    <w:rsid w:val="002312C2"/>
    <w:rsid w:val="002628E9"/>
    <w:rsid w:val="00291128"/>
    <w:rsid w:val="002A01A1"/>
    <w:rsid w:val="002E083F"/>
    <w:rsid w:val="003477F3"/>
    <w:rsid w:val="003851A8"/>
    <w:rsid w:val="003D0159"/>
    <w:rsid w:val="003E4DBF"/>
    <w:rsid w:val="00407058"/>
    <w:rsid w:val="00440E70"/>
    <w:rsid w:val="00445F4D"/>
    <w:rsid w:val="00463646"/>
    <w:rsid w:val="005803D6"/>
    <w:rsid w:val="005A6A1B"/>
    <w:rsid w:val="005E1009"/>
    <w:rsid w:val="00624979"/>
    <w:rsid w:val="006555EB"/>
    <w:rsid w:val="006E3C00"/>
    <w:rsid w:val="006E5771"/>
    <w:rsid w:val="006E7150"/>
    <w:rsid w:val="007675A8"/>
    <w:rsid w:val="00776489"/>
    <w:rsid w:val="007A4B2E"/>
    <w:rsid w:val="007A56E4"/>
    <w:rsid w:val="007D309A"/>
    <w:rsid w:val="007D32D1"/>
    <w:rsid w:val="0081478C"/>
    <w:rsid w:val="00827722"/>
    <w:rsid w:val="00846AA6"/>
    <w:rsid w:val="00865AF9"/>
    <w:rsid w:val="00883545"/>
    <w:rsid w:val="008E0AA0"/>
    <w:rsid w:val="00925EA2"/>
    <w:rsid w:val="00937377"/>
    <w:rsid w:val="00954F01"/>
    <w:rsid w:val="00967F17"/>
    <w:rsid w:val="00AC5535"/>
    <w:rsid w:val="00AF775B"/>
    <w:rsid w:val="00B13B89"/>
    <w:rsid w:val="00B35BF7"/>
    <w:rsid w:val="00BD49B7"/>
    <w:rsid w:val="00C12971"/>
    <w:rsid w:val="00C20FFF"/>
    <w:rsid w:val="00C56C51"/>
    <w:rsid w:val="00CA1C6F"/>
    <w:rsid w:val="00CA33C7"/>
    <w:rsid w:val="00CC451B"/>
    <w:rsid w:val="00CD3DAD"/>
    <w:rsid w:val="00CE6828"/>
    <w:rsid w:val="00CF641E"/>
    <w:rsid w:val="00D01702"/>
    <w:rsid w:val="00D44C75"/>
    <w:rsid w:val="00EC68B9"/>
    <w:rsid w:val="00EF2AE5"/>
    <w:rsid w:val="00F35A63"/>
    <w:rsid w:val="00F82B3A"/>
    <w:rsid w:val="00F86B69"/>
    <w:rsid w:val="00F86B88"/>
    <w:rsid w:val="00FA7871"/>
    <w:rsid w:val="00FB2E25"/>
    <w:rsid w:val="00FF12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D49B7"/>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84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5010</TotalTime>
  <Pages>8</Pages>
  <Words>2121</Words>
  <Characters>12031</Characters>
  <Application>Microsoft Office Word</Application>
  <DocSecurity>0</DocSecurity>
  <Lines>171</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ALPER</cp:lastModifiedBy>
  <cp:revision>24</cp:revision>
  <dcterms:created xsi:type="dcterms:W3CDTF">2014-12-31T21:34:00Z</dcterms:created>
  <dcterms:modified xsi:type="dcterms:W3CDTF">2015-01-04T13:01:00Z</dcterms:modified>
</cp:coreProperties>
</file>