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0A9C" w:rsidRPr="009A0A9C" w:rsidRDefault="009A0A9C" w:rsidP="009A0A9C">
      <w:pPr>
        <w:spacing w:line="360" w:lineRule="auto"/>
        <w:jc w:val="center"/>
        <w:rPr>
          <w:rFonts w:asciiTheme="majorBidi" w:hAnsiTheme="majorBidi" w:cstheme="majorBidi"/>
          <w:b/>
          <w:bCs/>
          <w:sz w:val="28"/>
          <w:szCs w:val="28"/>
          <w:lang w:bidi="fa-IR"/>
        </w:rPr>
      </w:pPr>
      <w:r w:rsidRPr="009A0A9C">
        <w:rPr>
          <w:rFonts w:asciiTheme="majorBidi" w:hAnsiTheme="majorBidi" w:cstheme="majorBidi"/>
          <w:b/>
          <w:bCs/>
          <w:sz w:val="28"/>
          <w:szCs w:val="28"/>
        </w:rPr>
        <w:t>Retrospective  comparison of  long-term  stability of first premolar extraction orthodontic treatment in skeletal Cl I and Skeletal Cl II patients</w:t>
      </w:r>
    </w:p>
    <w:p w:rsidR="009A0A9C" w:rsidRPr="00F724AB" w:rsidRDefault="00C669EA" w:rsidP="004F1F3C">
      <w:pPr>
        <w:rPr>
          <w:rFonts w:asciiTheme="majorBidi" w:hAnsiTheme="majorBidi" w:cstheme="majorBidi"/>
          <w:b/>
          <w:bCs/>
          <w:sz w:val="20"/>
          <w:szCs w:val="20"/>
          <w:vertAlign w:val="superscript"/>
        </w:rPr>
      </w:pPr>
      <w:r w:rsidRPr="009A0A9C">
        <w:rPr>
          <w:rFonts w:asciiTheme="majorBidi" w:hAnsiTheme="majorBidi" w:cstheme="majorBidi"/>
          <w:b/>
          <w:bCs/>
          <w:sz w:val="24"/>
          <w:szCs w:val="24"/>
        </w:rPr>
        <w:t>Pooya Olyaee</w:t>
      </w:r>
      <w:r w:rsidR="00F724AB">
        <w:rPr>
          <w:rFonts w:asciiTheme="majorBidi" w:hAnsiTheme="majorBidi" w:cstheme="majorBidi"/>
          <w:b/>
          <w:bCs/>
          <w:sz w:val="20"/>
          <w:szCs w:val="20"/>
          <w:vertAlign w:val="superscript"/>
        </w:rPr>
        <w:t>1</w:t>
      </w:r>
      <w:r w:rsidR="003D10DC">
        <w:rPr>
          <w:rFonts w:asciiTheme="majorBidi" w:hAnsiTheme="majorBidi" w:cstheme="majorBidi"/>
          <w:b/>
          <w:bCs/>
          <w:sz w:val="24"/>
          <w:szCs w:val="24"/>
        </w:rPr>
        <w:t xml:space="preserve"> </w:t>
      </w:r>
      <w:r>
        <w:rPr>
          <w:rFonts w:asciiTheme="majorBidi" w:hAnsiTheme="majorBidi" w:cstheme="majorBidi"/>
          <w:b/>
          <w:bCs/>
          <w:sz w:val="24"/>
          <w:szCs w:val="24"/>
        </w:rPr>
        <w:t xml:space="preserve">, </w:t>
      </w:r>
      <w:r w:rsidRPr="009A0A9C">
        <w:rPr>
          <w:rFonts w:asciiTheme="majorBidi" w:hAnsiTheme="majorBidi" w:cstheme="majorBidi"/>
          <w:b/>
          <w:bCs/>
          <w:sz w:val="24"/>
          <w:szCs w:val="24"/>
        </w:rPr>
        <w:t>Mohamad</w:t>
      </w:r>
      <w:r w:rsidR="003D10DC">
        <w:rPr>
          <w:rFonts w:asciiTheme="majorBidi" w:hAnsiTheme="majorBidi" w:cstheme="majorBidi"/>
          <w:b/>
          <w:bCs/>
          <w:sz w:val="24"/>
          <w:szCs w:val="24"/>
        </w:rPr>
        <w:t xml:space="preserve"> </w:t>
      </w:r>
      <w:r w:rsidRPr="009A0A9C">
        <w:rPr>
          <w:rFonts w:asciiTheme="majorBidi" w:hAnsiTheme="majorBidi" w:cstheme="majorBidi"/>
          <w:b/>
          <w:bCs/>
          <w:sz w:val="24"/>
          <w:szCs w:val="24"/>
        </w:rPr>
        <w:t>Hossein</w:t>
      </w:r>
      <w:r w:rsidR="003D10DC">
        <w:rPr>
          <w:rFonts w:asciiTheme="majorBidi" w:hAnsiTheme="majorBidi" w:cstheme="majorBidi"/>
          <w:b/>
          <w:bCs/>
          <w:sz w:val="24"/>
          <w:szCs w:val="24"/>
        </w:rPr>
        <w:t xml:space="preserve"> </w:t>
      </w:r>
      <w:r w:rsidRPr="009A0A9C">
        <w:rPr>
          <w:rFonts w:asciiTheme="majorBidi" w:hAnsiTheme="majorBidi" w:cstheme="majorBidi"/>
          <w:b/>
          <w:bCs/>
          <w:sz w:val="24"/>
          <w:szCs w:val="24"/>
        </w:rPr>
        <w:t>Ahangar</w:t>
      </w:r>
      <w:r w:rsidR="003D10DC">
        <w:rPr>
          <w:rFonts w:asciiTheme="majorBidi" w:hAnsiTheme="majorBidi" w:cstheme="majorBidi"/>
          <w:b/>
          <w:bCs/>
          <w:sz w:val="24"/>
          <w:szCs w:val="24"/>
        </w:rPr>
        <w:t xml:space="preserve"> </w:t>
      </w:r>
      <w:r w:rsidRPr="009A0A9C">
        <w:rPr>
          <w:rFonts w:asciiTheme="majorBidi" w:hAnsiTheme="majorBidi" w:cstheme="majorBidi"/>
          <w:b/>
          <w:bCs/>
          <w:sz w:val="24"/>
          <w:szCs w:val="24"/>
        </w:rPr>
        <w:t>Atashi</w:t>
      </w:r>
      <w:r w:rsidR="00F724AB">
        <w:rPr>
          <w:rFonts w:asciiTheme="majorBidi" w:hAnsiTheme="majorBidi" w:cstheme="majorBidi"/>
          <w:b/>
          <w:bCs/>
          <w:sz w:val="20"/>
          <w:szCs w:val="20"/>
          <w:vertAlign w:val="superscript"/>
        </w:rPr>
        <w:t>2</w:t>
      </w:r>
      <w:r w:rsidR="00F724AB">
        <w:rPr>
          <w:rFonts w:asciiTheme="majorBidi" w:hAnsiTheme="majorBidi" w:cstheme="majorBidi"/>
          <w:b/>
          <w:bCs/>
          <w:sz w:val="24"/>
          <w:szCs w:val="24"/>
        </w:rPr>
        <w:t xml:space="preserve"> </w:t>
      </w:r>
    </w:p>
    <w:p w:rsidR="00F724AB" w:rsidRPr="00F724AB" w:rsidRDefault="00F724AB" w:rsidP="00F724AB">
      <w:pPr>
        <w:rPr>
          <w:rFonts w:asciiTheme="majorBidi" w:hAnsiTheme="majorBidi" w:cstheme="majorBidi"/>
          <w:b/>
          <w:bCs/>
          <w:sz w:val="20"/>
          <w:szCs w:val="20"/>
        </w:rPr>
      </w:pPr>
      <w:r>
        <w:rPr>
          <w:rFonts w:asciiTheme="majorBidi" w:hAnsiTheme="majorBidi" w:cstheme="majorBidi"/>
          <w:b/>
          <w:bCs/>
          <w:sz w:val="20"/>
          <w:szCs w:val="20"/>
          <w:vertAlign w:val="superscript"/>
        </w:rPr>
        <w:t>1</w:t>
      </w:r>
      <w:r w:rsidRPr="00F724AB">
        <w:rPr>
          <w:rFonts w:asciiTheme="majorBidi" w:hAnsiTheme="majorBidi" w:cstheme="majorBidi"/>
          <w:b/>
          <w:bCs/>
          <w:sz w:val="20"/>
          <w:szCs w:val="20"/>
        </w:rPr>
        <w:t xml:space="preserve"> Assistant Professor, Department of Orthodontics, Faculty of dentistry, Urmia university of medical sciences.</w:t>
      </w:r>
    </w:p>
    <w:p w:rsidR="00F724AB" w:rsidRPr="00F724AB" w:rsidRDefault="00F724AB" w:rsidP="00F724AB">
      <w:pPr>
        <w:rPr>
          <w:rFonts w:asciiTheme="majorBidi" w:hAnsiTheme="majorBidi" w:cstheme="majorBidi"/>
          <w:b/>
          <w:bCs/>
          <w:sz w:val="20"/>
          <w:szCs w:val="20"/>
        </w:rPr>
      </w:pPr>
      <w:r>
        <w:rPr>
          <w:rFonts w:asciiTheme="majorBidi" w:hAnsiTheme="majorBidi" w:cstheme="majorBidi"/>
          <w:b/>
          <w:bCs/>
          <w:sz w:val="20"/>
          <w:szCs w:val="20"/>
          <w:vertAlign w:val="superscript"/>
        </w:rPr>
        <w:t xml:space="preserve">2 </w:t>
      </w:r>
      <w:r w:rsidRPr="00F724AB">
        <w:rPr>
          <w:rFonts w:asciiTheme="majorBidi" w:hAnsiTheme="majorBidi" w:cstheme="majorBidi"/>
          <w:b/>
          <w:bCs/>
          <w:sz w:val="20"/>
          <w:szCs w:val="20"/>
        </w:rPr>
        <w:t>Associate Professor, Department of Orthodontics, Faculty of dentistry, Tabriz university of medical sciences.</w:t>
      </w:r>
    </w:p>
    <w:p w:rsidR="00F724AB" w:rsidRPr="003D10DC" w:rsidRDefault="00F724AB" w:rsidP="00F724AB">
      <w:pPr>
        <w:rPr>
          <w:rFonts w:asciiTheme="majorBidi" w:hAnsiTheme="majorBidi" w:cstheme="majorBidi"/>
          <w:b/>
          <w:bCs/>
          <w:sz w:val="20"/>
          <w:szCs w:val="20"/>
          <w:vertAlign w:val="superscript"/>
        </w:rPr>
      </w:pPr>
    </w:p>
    <w:p w:rsidR="008A1EFB" w:rsidRPr="009A0A9C" w:rsidRDefault="008A1EFB" w:rsidP="008A1EFB">
      <w:pPr>
        <w:rPr>
          <w:rFonts w:asciiTheme="majorBidi" w:hAnsiTheme="majorBidi" w:cstheme="majorBidi"/>
          <w:b/>
          <w:bCs/>
          <w:sz w:val="20"/>
          <w:szCs w:val="20"/>
        </w:rPr>
      </w:pPr>
      <w:r w:rsidRPr="009A0A9C">
        <w:rPr>
          <w:rFonts w:asciiTheme="majorBidi" w:hAnsiTheme="majorBidi" w:cstheme="majorBidi"/>
          <w:b/>
          <w:bCs/>
          <w:sz w:val="20"/>
          <w:szCs w:val="20"/>
        </w:rPr>
        <w:t>Abstract</w:t>
      </w:r>
    </w:p>
    <w:p w:rsidR="009A0A9C" w:rsidRPr="009A0A9C" w:rsidRDefault="008A1EFB" w:rsidP="009A0A9C">
      <w:pPr>
        <w:shd w:val="clear" w:color="auto" w:fill="FFFFFF"/>
        <w:spacing w:before="100" w:beforeAutospacing="1" w:after="100" w:afterAutospacing="1" w:line="360" w:lineRule="auto"/>
        <w:contextualSpacing/>
        <w:jc w:val="both"/>
        <w:rPr>
          <w:rFonts w:asciiTheme="majorBidi" w:hAnsiTheme="majorBidi" w:cstheme="majorBidi"/>
          <w:color w:val="000000"/>
          <w:sz w:val="20"/>
          <w:szCs w:val="20"/>
        </w:rPr>
      </w:pPr>
      <w:bookmarkStart w:id="0" w:name="_GoBack"/>
      <w:bookmarkEnd w:id="0"/>
      <w:r w:rsidRPr="009A0A9C">
        <w:rPr>
          <w:rFonts w:asciiTheme="majorBidi" w:hAnsiTheme="majorBidi" w:cstheme="majorBidi"/>
          <w:b/>
          <w:color w:val="000000"/>
          <w:sz w:val="20"/>
          <w:szCs w:val="20"/>
        </w:rPr>
        <w:t>Introduction</w:t>
      </w:r>
      <w:r w:rsidRPr="009A0A9C">
        <w:rPr>
          <w:rFonts w:asciiTheme="majorBidi" w:hAnsiTheme="majorBidi" w:cstheme="majorBidi"/>
          <w:color w:val="000000"/>
          <w:sz w:val="20"/>
          <w:szCs w:val="20"/>
        </w:rPr>
        <w:t xml:space="preserve">: </w:t>
      </w:r>
      <w:r w:rsidR="009A0A9C" w:rsidRPr="009A0A9C">
        <w:rPr>
          <w:rFonts w:asciiTheme="majorBidi" w:hAnsiTheme="majorBidi" w:cstheme="majorBidi"/>
          <w:sz w:val="20"/>
          <w:szCs w:val="20"/>
        </w:rPr>
        <w:t>The purpose of this retrospective study was to compare long-term stability of first premolar extraction orthodontic treatment in skeletal Cl I and Skeletal Cl II patients</w:t>
      </w:r>
      <w:r w:rsidR="009A0A9C" w:rsidRPr="009A0A9C">
        <w:rPr>
          <w:rFonts w:asciiTheme="majorBidi" w:hAnsiTheme="majorBidi" w:cstheme="majorBidi"/>
          <w:color w:val="000000"/>
          <w:sz w:val="20"/>
          <w:szCs w:val="20"/>
        </w:rPr>
        <w:t>.</w:t>
      </w:r>
    </w:p>
    <w:p w:rsidR="008A1EFB" w:rsidRPr="009A0A9C" w:rsidRDefault="008A1EFB" w:rsidP="009A0A9C">
      <w:pPr>
        <w:spacing w:line="360" w:lineRule="auto"/>
        <w:jc w:val="both"/>
        <w:rPr>
          <w:rFonts w:asciiTheme="majorBidi" w:hAnsiTheme="majorBidi" w:cstheme="majorBidi"/>
          <w:color w:val="000000"/>
          <w:sz w:val="20"/>
          <w:szCs w:val="20"/>
        </w:rPr>
      </w:pPr>
      <w:r w:rsidRPr="009A0A9C">
        <w:rPr>
          <w:rFonts w:asciiTheme="majorBidi" w:hAnsiTheme="majorBidi" w:cstheme="majorBidi"/>
          <w:b/>
          <w:color w:val="000000"/>
          <w:sz w:val="20"/>
          <w:szCs w:val="20"/>
        </w:rPr>
        <w:t>Materials and Methods</w:t>
      </w:r>
      <w:r w:rsidRPr="009A0A9C">
        <w:rPr>
          <w:rFonts w:asciiTheme="majorBidi" w:hAnsiTheme="majorBidi" w:cstheme="majorBidi"/>
          <w:color w:val="000000"/>
          <w:sz w:val="20"/>
          <w:szCs w:val="20"/>
        </w:rPr>
        <w:t>: 28 skeletal Class I samples and 28 skeletal Class II samples were randomly selected. Irregularity index, mandibular arch length, mandibular intercanine width, and mandibular intermolar width were measured on pretreatment, post-treatment and post-retention study models. Independent t-test was applied to compare Irregularity index, mandibular arch length, and mandibular inter-canine and inter-molar width, between the two groups.</w:t>
      </w:r>
    </w:p>
    <w:p w:rsidR="008A1EFB" w:rsidRPr="009A0A9C" w:rsidRDefault="008A1EFB" w:rsidP="008A1EFB">
      <w:pPr>
        <w:spacing w:line="360" w:lineRule="auto"/>
        <w:jc w:val="both"/>
        <w:rPr>
          <w:rFonts w:asciiTheme="majorBidi" w:hAnsiTheme="majorBidi" w:cstheme="majorBidi"/>
          <w:color w:val="000000"/>
          <w:sz w:val="20"/>
          <w:szCs w:val="20"/>
        </w:rPr>
      </w:pPr>
      <w:r w:rsidRPr="009A0A9C">
        <w:rPr>
          <w:rFonts w:asciiTheme="majorBidi" w:hAnsiTheme="majorBidi" w:cstheme="majorBidi"/>
          <w:b/>
          <w:color w:val="000000"/>
          <w:sz w:val="20"/>
          <w:szCs w:val="20"/>
        </w:rPr>
        <w:t>Results</w:t>
      </w:r>
      <w:r w:rsidRPr="009A0A9C">
        <w:rPr>
          <w:rFonts w:asciiTheme="majorBidi" w:hAnsiTheme="majorBidi" w:cstheme="majorBidi"/>
          <w:color w:val="000000"/>
          <w:sz w:val="20"/>
          <w:szCs w:val="20"/>
        </w:rPr>
        <w:t>: Class I cases showed more irregularity index at post-retention (2.81</w:t>
      </w:r>
      <w:r w:rsidRPr="009A0A9C">
        <w:rPr>
          <w:rFonts w:asciiTheme="majorBidi" w:hAnsiTheme="majorBidi" w:cstheme="majorBidi"/>
          <w:sz w:val="20"/>
          <w:szCs w:val="20"/>
        </w:rPr>
        <w:t>±1.08mm), more decrease in inter-canine width</w:t>
      </w:r>
      <w:r w:rsidRPr="009A0A9C">
        <w:rPr>
          <w:rFonts w:asciiTheme="majorBidi" w:hAnsiTheme="majorBidi" w:cstheme="majorBidi"/>
          <w:color w:val="000000"/>
          <w:sz w:val="20"/>
          <w:szCs w:val="20"/>
        </w:rPr>
        <w:t xml:space="preserve"> (2.66±0.081) and arch length decrease (3.01±1.13)</w:t>
      </w:r>
      <w:r w:rsidRPr="009A0A9C">
        <w:rPr>
          <w:rFonts w:asciiTheme="majorBidi" w:hAnsiTheme="majorBidi" w:cstheme="majorBidi"/>
          <w:sz w:val="20"/>
          <w:szCs w:val="20"/>
        </w:rPr>
        <w:t xml:space="preserve"> from post-treatment to post-retention period. There were positive and direct correlations found between the amount of pre-treatment irregularity index and irregularity index post-retention (i.e., cases with more initial irregularity showed greater crowding post-retention).</w:t>
      </w:r>
    </w:p>
    <w:p w:rsidR="008A1EFB" w:rsidRPr="009A0A9C" w:rsidRDefault="008A1EFB" w:rsidP="008A1EFB">
      <w:pPr>
        <w:spacing w:line="360" w:lineRule="auto"/>
        <w:jc w:val="both"/>
        <w:rPr>
          <w:rFonts w:asciiTheme="majorBidi" w:hAnsiTheme="majorBidi" w:cstheme="majorBidi"/>
          <w:color w:val="000000"/>
          <w:sz w:val="20"/>
          <w:szCs w:val="20"/>
        </w:rPr>
      </w:pPr>
      <w:r w:rsidRPr="009A0A9C">
        <w:rPr>
          <w:rFonts w:asciiTheme="majorBidi" w:hAnsiTheme="majorBidi" w:cstheme="majorBidi"/>
          <w:b/>
          <w:color w:val="000000"/>
          <w:sz w:val="20"/>
          <w:szCs w:val="20"/>
        </w:rPr>
        <w:t>Conclusion</w:t>
      </w:r>
      <w:r w:rsidRPr="009A0A9C">
        <w:rPr>
          <w:rFonts w:asciiTheme="majorBidi" w:hAnsiTheme="majorBidi" w:cstheme="majorBidi"/>
          <w:color w:val="000000"/>
          <w:sz w:val="20"/>
          <w:szCs w:val="20"/>
        </w:rPr>
        <w:t>: Patients with class I skeletal pattern and higher pretreatment irregularity index are at increased risk of increased post-treatment relapse of mandibular anterior crowding.</w:t>
      </w:r>
    </w:p>
    <w:p w:rsidR="008A1EFB" w:rsidRPr="009A0A9C" w:rsidRDefault="008A1EFB" w:rsidP="008A1EFB">
      <w:pPr>
        <w:rPr>
          <w:rFonts w:asciiTheme="majorBidi" w:hAnsiTheme="majorBidi" w:cstheme="majorBidi"/>
          <w:color w:val="000000"/>
          <w:sz w:val="20"/>
          <w:szCs w:val="20"/>
        </w:rPr>
      </w:pPr>
      <w:r w:rsidRPr="009A0A9C">
        <w:rPr>
          <w:rFonts w:asciiTheme="majorBidi" w:hAnsiTheme="majorBidi" w:cstheme="majorBidi"/>
          <w:b/>
          <w:color w:val="000000"/>
          <w:sz w:val="20"/>
          <w:szCs w:val="20"/>
        </w:rPr>
        <w:t>Keywords</w:t>
      </w:r>
      <w:r w:rsidRPr="009A0A9C">
        <w:rPr>
          <w:rFonts w:asciiTheme="majorBidi" w:hAnsiTheme="majorBidi" w:cstheme="majorBidi"/>
          <w:color w:val="000000"/>
          <w:sz w:val="20"/>
          <w:szCs w:val="20"/>
        </w:rPr>
        <w:t>: Irregularity index, mandibular arch length, mandibular inter-canine width, and mandibular inter-molar width.</w:t>
      </w:r>
    </w:p>
    <w:p w:rsidR="008A1EFB" w:rsidRPr="009A0A9C" w:rsidRDefault="008A1EFB" w:rsidP="008A1EFB">
      <w:pPr>
        <w:rPr>
          <w:rFonts w:asciiTheme="majorBidi" w:hAnsiTheme="majorBidi" w:cstheme="majorBidi"/>
          <w:b/>
          <w:bCs/>
          <w:color w:val="000000"/>
          <w:sz w:val="24"/>
          <w:szCs w:val="24"/>
        </w:rPr>
      </w:pPr>
    </w:p>
    <w:p w:rsidR="008A1EFB" w:rsidRPr="009A0A9C" w:rsidRDefault="009A0A9C" w:rsidP="008A1EFB">
      <w:pPr>
        <w:spacing w:line="360" w:lineRule="auto"/>
        <w:rPr>
          <w:rFonts w:asciiTheme="majorBidi" w:hAnsiTheme="majorBidi" w:cstheme="majorBidi"/>
          <w:b/>
          <w:bCs/>
          <w:color w:val="000000"/>
          <w:sz w:val="24"/>
          <w:szCs w:val="24"/>
        </w:rPr>
      </w:pPr>
      <w:r>
        <w:rPr>
          <w:rFonts w:asciiTheme="majorBidi" w:hAnsiTheme="majorBidi" w:cstheme="majorBidi"/>
          <w:b/>
          <w:bCs/>
          <w:color w:val="000000"/>
          <w:sz w:val="24"/>
          <w:szCs w:val="24"/>
        </w:rPr>
        <w:t>Introduction</w:t>
      </w:r>
    </w:p>
    <w:p w:rsidR="008A1EFB" w:rsidRPr="009A0A9C" w:rsidRDefault="008A1EFB" w:rsidP="008A1EFB">
      <w:pPr>
        <w:spacing w:line="360" w:lineRule="auto"/>
        <w:jc w:val="both"/>
        <w:rPr>
          <w:rFonts w:asciiTheme="majorBidi" w:hAnsiTheme="majorBidi" w:cstheme="majorBidi"/>
          <w:b/>
          <w:bCs/>
          <w:color w:val="000000"/>
          <w:sz w:val="24"/>
          <w:szCs w:val="24"/>
        </w:rPr>
      </w:pPr>
      <w:r w:rsidRPr="009A0A9C">
        <w:rPr>
          <w:rFonts w:asciiTheme="majorBidi" w:hAnsiTheme="majorBidi" w:cstheme="majorBidi"/>
          <w:color w:val="000000"/>
          <w:sz w:val="24"/>
          <w:szCs w:val="24"/>
        </w:rPr>
        <w:t>Stability of the attained treatment results is one of the three major goals of orthodontic treatment including esthetics, function, and stability. Maintaining anterior alignment following termination of active orthodontic treatment has been a challenge for the orthodontist</w:t>
      </w:r>
      <w:r w:rsidRPr="009A0A9C">
        <w:rPr>
          <w:rFonts w:asciiTheme="majorBidi" w:hAnsiTheme="majorBidi" w:cstheme="majorBidi"/>
          <w:color w:val="000000"/>
          <w:sz w:val="24"/>
          <w:szCs w:val="24"/>
          <w:vertAlign w:val="superscript"/>
        </w:rPr>
        <w:t>1</w:t>
      </w:r>
      <w:r w:rsidRPr="009A0A9C">
        <w:rPr>
          <w:rFonts w:asciiTheme="majorBidi" w:hAnsiTheme="majorBidi" w:cstheme="majorBidi"/>
          <w:color w:val="000000"/>
          <w:sz w:val="24"/>
          <w:szCs w:val="24"/>
        </w:rPr>
        <w:t>.</w:t>
      </w:r>
    </w:p>
    <w:p w:rsidR="008A1EFB" w:rsidRPr="009A0A9C" w:rsidRDefault="008A1EFB" w:rsidP="008A1EFB">
      <w:pPr>
        <w:spacing w:line="360" w:lineRule="auto"/>
        <w:jc w:val="both"/>
        <w:rPr>
          <w:rFonts w:asciiTheme="majorBidi" w:hAnsiTheme="majorBidi" w:cstheme="majorBidi"/>
          <w:color w:val="000000"/>
          <w:sz w:val="24"/>
          <w:szCs w:val="24"/>
        </w:rPr>
      </w:pPr>
      <w:r w:rsidRPr="009A0A9C">
        <w:rPr>
          <w:rFonts w:asciiTheme="majorBidi" w:hAnsiTheme="majorBidi" w:cstheme="majorBidi"/>
          <w:color w:val="000000"/>
          <w:sz w:val="24"/>
          <w:szCs w:val="24"/>
        </w:rPr>
        <w:lastRenderedPageBreak/>
        <w:t>The etiologic factors of the relapse of anterior crowding have not yet been verified clearly</w:t>
      </w:r>
      <w:r w:rsidRPr="009A0A9C">
        <w:rPr>
          <w:rFonts w:asciiTheme="majorBidi" w:hAnsiTheme="majorBidi" w:cstheme="majorBidi"/>
          <w:color w:val="000000"/>
          <w:sz w:val="24"/>
          <w:szCs w:val="24"/>
          <w:vertAlign w:val="superscript"/>
        </w:rPr>
        <w:t>2</w:t>
      </w:r>
      <w:r w:rsidRPr="009A0A9C">
        <w:rPr>
          <w:rFonts w:asciiTheme="majorBidi" w:hAnsiTheme="majorBidi" w:cstheme="majorBidi"/>
          <w:color w:val="000000"/>
          <w:sz w:val="24"/>
          <w:szCs w:val="24"/>
        </w:rPr>
        <w:t>. There is controversy about the amount of crowding occurring during the post retention period in follow up studies, and it has been reported to recur up to 90%</w:t>
      </w:r>
      <w:r w:rsidRPr="009A0A9C">
        <w:rPr>
          <w:rFonts w:asciiTheme="majorBidi" w:hAnsiTheme="majorBidi" w:cstheme="majorBidi"/>
          <w:color w:val="000000"/>
          <w:sz w:val="24"/>
          <w:szCs w:val="24"/>
          <w:vertAlign w:val="superscript"/>
        </w:rPr>
        <w:t>3-5</w:t>
      </w:r>
      <w:r w:rsidRPr="009A0A9C">
        <w:rPr>
          <w:rFonts w:asciiTheme="majorBidi" w:hAnsiTheme="majorBidi" w:cstheme="majorBidi"/>
          <w:color w:val="000000"/>
          <w:sz w:val="24"/>
          <w:szCs w:val="24"/>
        </w:rPr>
        <w:t xml:space="preserve">.  </w:t>
      </w:r>
    </w:p>
    <w:p w:rsidR="008A1EFB" w:rsidRPr="009A0A9C" w:rsidRDefault="008A1EFB" w:rsidP="00597340">
      <w:pPr>
        <w:pStyle w:val="BodyText"/>
        <w:bidi w:val="0"/>
        <w:spacing w:line="360" w:lineRule="auto"/>
        <w:jc w:val="both"/>
        <w:rPr>
          <w:rFonts w:asciiTheme="majorBidi" w:hAnsiTheme="majorBidi" w:cstheme="majorBidi"/>
          <w:b w:val="0"/>
          <w:bCs w:val="0"/>
          <w:szCs w:val="24"/>
        </w:rPr>
      </w:pPr>
      <w:r w:rsidRPr="009A0A9C">
        <w:rPr>
          <w:rFonts w:asciiTheme="majorBidi" w:hAnsiTheme="majorBidi" w:cstheme="majorBidi"/>
          <w:b w:val="0"/>
          <w:bCs w:val="0"/>
          <w:szCs w:val="24"/>
          <w:lang w:bidi="fa-IR"/>
        </w:rPr>
        <w:t>Kujipers-Jagtman</w:t>
      </w:r>
      <w:r w:rsidR="00597340" w:rsidRPr="009A0A9C">
        <w:rPr>
          <w:rFonts w:asciiTheme="majorBidi" w:hAnsiTheme="majorBidi" w:cstheme="majorBidi"/>
          <w:b w:val="0"/>
          <w:bCs w:val="0"/>
          <w:szCs w:val="24"/>
          <w:vertAlign w:val="superscript"/>
        </w:rPr>
        <w:t>6</w:t>
      </w:r>
      <w:r w:rsidRPr="009A0A9C">
        <w:rPr>
          <w:rFonts w:asciiTheme="majorBidi" w:hAnsiTheme="majorBidi" w:cstheme="majorBidi"/>
          <w:b w:val="0"/>
          <w:bCs w:val="0"/>
          <w:szCs w:val="24"/>
          <w:lang w:bidi="fa-IR"/>
        </w:rPr>
        <w:t xml:space="preserve"> have reported that </w:t>
      </w:r>
      <w:r w:rsidRPr="009A0A9C">
        <w:rPr>
          <w:rFonts w:asciiTheme="majorBidi" w:hAnsiTheme="majorBidi" w:cstheme="majorBidi"/>
          <w:b w:val="0"/>
          <w:bCs w:val="0"/>
          <w:szCs w:val="24"/>
        </w:rPr>
        <w:t>the lower anterior contact point displacement, showed a fast and continuous relapse even exceeding the initial score in the 10 year follow up of patients post retention period. Little</w:t>
      </w:r>
      <w:r w:rsidR="00597340" w:rsidRPr="009A0A9C">
        <w:rPr>
          <w:rFonts w:asciiTheme="majorBidi" w:hAnsiTheme="majorBidi" w:cstheme="majorBidi"/>
          <w:b w:val="0"/>
          <w:bCs w:val="0"/>
          <w:szCs w:val="24"/>
          <w:vertAlign w:val="superscript"/>
        </w:rPr>
        <w:t>7</w:t>
      </w:r>
      <w:r w:rsidRPr="009A0A9C">
        <w:rPr>
          <w:rFonts w:asciiTheme="majorBidi" w:hAnsiTheme="majorBidi" w:cstheme="majorBidi"/>
          <w:b w:val="0"/>
          <w:bCs w:val="0"/>
          <w:szCs w:val="24"/>
        </w:rPr>
        <w:t xml:space="preserve"> showed that the long-term response to mandibular anterior alignment was unpredictable; no variables, such as degree of initial crowding, age, sex, Angle classification, etc., were useful in establishing a prognosis. Salvatore</w:t>
      </w:r>
      <w:r w:rsidR="00597340" w:rsidRPr="009A0A9C">
        <w:rPr>
          <w:rFonts w:asciiTheme="majorBidi" w:hAnsiTheme="majorBidi" w:cstheme="majorBidi"/>
          <w:b w:val="0"/>
          <w:bCs w:val="0"/>
          <w:szCs w:val="24"/>
          <w:vertAlign w:val="superscript"/>
        </w:rPr>
        <w:t>8</w:t>
      </w:r>
      <w:r w:rsidRPr="009A0A9C">
        <w:rPr>
          <w:rFonts w:asciiTheme="majorBidi" w:hAnsiTheme="majorBidi" w:cstheme="majorBidi"/>
          <w:b w:val="0"/>
          <w:bCs w:val="0"/>
          <w:szCs w:val="24"/>
        </w:rPr>
        <w:t xml:space="preserve"> has concluded that the quality of orthodontic treatment outcomes is not related to the long-term occlusal stability.</w:t>
      </w:r>
    </w:p>
    <w:p w:rsidR="008A1EFB" w:rsidRPr="009A0A9C" w:rsidRDefault="008A1EFB" w:rsidP="00597340">
      <w:pPr>
        <w:pStyle w:val="BodyText"/>
        <w:bidi w:val="0"/>
        <w:spacing w:line="360" w:lineRule="auto"/>
        <w:jc w:val="both"/>
        <w:rPr>
          <w:rFonts w:asciiTheme="majorBidi" w:hAnsiTheme="majorBidi" w:cstheme="majorBidi"/>
          <w:b w:val="0"/>
          <w:bCs w:val="0"/>
          <w:szCs w:val="24"/>
        </w:rPr>
      </w:pPr>
      <w:r w:rsidRPr="009A0A9C">
        <w:rPr>
          <w:rFonts w:asciiTheme="majorBidi" w:hAnsiTheme="majorBidi" w:cstheme="majorBidi"/>
          <w:b w:val="0"/>
          <w:bCs w:val="0"/>
          <w:szCs w:val="24"/>
        </w:rPr>
        <w:t>In the study of Ormiston</w:t>
      </w:r>
      <w:r w:rsidR="00597340" w:rsidRPr="009A0A9C">
        <w:rPr>
          <w:rFonts w:asciiTheme="majorBidi" w:hAnsiTheme="majorBidi" w:cstheme="majorBidi"/>
          <w:b w:val="0"/>
          <w:bCs w:val="0"/>
          <w:szCs w:val="24"/>
          <w:vertAlign w:val="superscript"/>
        </w:rPr>
        <w:t>9</w:t>
      </w:r>
      <w:r w:rsidR="00597340">
        <w:rPr>
          <w:rFonts w:asciiTheme="majorBidi" w:hAnsiTheme="majorBidi" w:cstheme="majorBidi"/>
          <w:b w:val="0"/>
          <w:bCs w:val="0"/>
          <w:szCs w:val="24"/>
        </w:rPr>
        <w:t xml:space="preserve">, </w:t>
      </w:r>
      <w:r w:rsidRPr="009A0A9C">
        <w:rPr>
          <w:rFonts w:asciiTheme="majorBidi" w:hAnsiTheme="majorBidi" w:cstheme="majorBidi"/>
          <w:b w:val="0"/>
          <w:bCs w:val="0"/>
          <w:szCs w:val="24"/>
        </w:rPr>
        <w:t>the initial severity of malocclusion, as graded by the PAR index and the irregularity index, was negatively correlated with post retention stability—i.e., patients with more severe index scores before treatment tended to be less stable. Kahl- Nieke</w:t>
      </w:r>
      <w:r w:rsidR="00597340" w:rsidRPr="009A0A9C">
        <w:rPr>
          <w:rFonts w:asciiTheme="majorBidi" w:hAnsiTheme="majorBidi" w:cstheme="majorBidi"/>
          <w:b w:val="0"/>
          <w:bCs w:val="0"/>
          <w:szCs w:val="24"/>
          <w:vertAlign w:val="superscript"/>
        </w:rPr>
        <w:t>10</w:t>
      </w:r>
      <w:r w:rsidRPr="009A0A9C">
        <w:rPr>
          <w:rFonts w:asciiTheme="majorBidi" w:hAnsiTheme="majorBidi" w:cstheme="majorBidi"/>
          <w:b w:val="0"/>
          <w:bCs w:val="0"/>
          <w:szCs w:val="24"/>
        </w:rPr>
        <w:t xml:space="preserve"> found that residual Class II or III molar relationships were associated factors in the process of post-retention increase of crowding and incisor irregularity. Rossouw</w:t>
      </w:r>
      <w:r w:rsidR="00597340" w:rsidRPr="009A0A9C">
        <w:rPr>
          <w:rFonts w:asciiTheme="majorBidi" w:hAnsiTheme="majorBidi" w:cstheme="majorBidi"/>
          <w:b w:val="0"/>
          <w:bCs w:val="0"/>
          <w:szCs w:val="24"/>
          <w:vertAlign w:val="superscript"/>
        </w:rPr>
        <w:t>11</w:t>
      </w:r>
      <w:r w:rsidRPr="009A0A9C">
        <w:rPr>
          <w:rFonts w:asciiTheme="majorBidi" w:hAnsiTheme="majorBidi" w:cstheme="majorBidi"/>
          <w:b w:val="0"/>
          <w:bCs w:val="0"/>
          <w:szCs w:val="24"/>
        </w:rPr>
        <w:t xml:space="preserve"> reported that there are no significant differences between extraction and nonextraction treatments regarding anterior alignment stability.</w:t>
      </w:r>
    </w:p>
    <w:p w:rsidR="008A1EFB" w:rsidRPr="009A0A9C" w:rsidRDefault="008A1EFB" w:rsidP="00597340">
      <w:pPr>
        <w:autoSpaceDE w:val="0"/>
        <w:autoSpaceDN w:val="0"/>
        <w:adjustRightInd w:val="0"/>
        <w:spacing w:line="360" w:lineRule="auto"/>
        <w:jc w:val="both"/>
        <w:rPr>
          <w:rFonts w:asciiTheme="majorBidi" w:hAnsiTheme="majorBidi" w:cstheme="majorBidi"/>
          <w:sz w:val="24"/>
          <w:szCs w:val="24"/>
        </w:rPr>
      </w:pPr>
      <w:r w:rsidRPr="009A0A9C">
        <w:rPr>
          <w:rFonts w:asciiTheme="majorBidi" w:hAnsiTheme="majorBidi" w:cstheme="majorBidi"/>
          <w:sz w:val="24"/>
          <w:szCs w:val="24"/>
        </w:rPr>
        <w:t>O’ Neill</w:t>
      </w:r>
      <w:r w:rsidR="00597340" w:rsidRPr="009A0A9C">
        <w:rPr>
          <w:rFonts w:asciiTheme="majorBidi" w:hAnsiTheme="majorBidi" w:cstheme="majorBidi"/>
          <w:sz w:val="24"/>
          <w:szCs w:val="24"/>
          <w:vertAlign w:val="superscript"/>
        </w:rPr>
        <w:t>12</w:t>
      </w:r>
      <w:r w:rsidRPr="009A0A9C">
        <w:rPr>
          <w:rFonts w:asciiTheme="majorBidi" w:hAnsiTheme="majorBidi" w:cstheme="majorBidi"/>
          <w:sz w:val="24"/>
          <w:szCs w:val="24"/>
        </w:rPr>
        <w:t xml:space="preserve"> in 2007 has systematically reviewed 1004 abstracts or full-text articles from PubMed and Cochrane Library electronic databases and suggests that there is a great need for well-designed studies with sufficient sample sizes; and sample selection according to type of malocclusion, age and growth pattern. Most studies do not support a greater relapse in Class II Division 1 cases when compared with other malocclusion groups,however, a slight change in overjet toward pretreatment values was demonstrated in all malocclusion groups</w:t>
      </w:r>
      <w:r w:rsidRPr="009A0A9C">
        <w:rPr>
          <w:rFonts w:asciiTheme="majorBidi" w:hAnsiTheme="majorBidi" w:cstheme="majorBidi"/>
          <w:sz w:val="24"/>
          <w:szCs w:val="24"/>
          <w:vertAlign w:val="superscript"/>
        </w:rPr>
        <w:t>13</w:t>
      </w:r>
      <w:r w:rsidRPr="009A0A9C">
        <w:rPr>
          <w:rFonts w:asciiTheme="majorBidi" w:hAnsiTheme="majorBidi" w:cstheme="majorBidi"/>
          <w:sz w:val="24"/>
          <w:szCs w:val="24"/>
        </w:rPr>
        <w:t xml:space="preserve">. </w:t>
      </w:r>
    </w:p>
    <w:p w:rsidR="008A1EFB" w:rsidRPr="009A0A9C" w:rsidRDefault="008A1EFB" w:rsidP="008A1EFB">
      <w:pPr>
        <w:spacing w:line="360" w:lineRule="auto"/>
        <w:rPr>
          <w:rFonts w:asciiTheme="majorBidi" w:hAnsiTheme="majorBidi" w:cstheme="majorBidi"/>
          <w:sz w:val="24"/>
          <w:szCs w:val="24"/>
        </w:rPr>
      </w:pPr>
      <w:r w:rsidRPr="009A0A9C">
        <w:rPr>
          <w:rFonts w:asciiTheme="majorBidi" w:hAnsiTheme="majorBidi" w:cstheme="majorBidi"/>
          <w:sz w:val="24"/>
          <w:szCs w:val="24"/>
        </w:rPr>
        <w:t>Labially inclined incisors pretreatment tend to be associated with less long-term crowding</w:t>
      </w:r>
      <w:r w:rsidRPr="009A0A9C">
        <w:rPr>
          <w:rFonts w:asciiTheme="majorBidi" w:hAnsiTheme="majorBidi" w:cstheme="majorBidi"/>
          <w:sz w:val="24"/>
          <w:szCs w:val="24"/>
          <w:vertAlign w:val="superscript"/>
        </w:rPr>
        <w:t>14</w:t>
      </w:r>
      <w:r w:rsidRPr="009A0A9C">
        <w:rPr>
          <w:rFonts w:asciiTheme="majorBidi" w:hAnsiTheme="majorBidi" w:cstheme="majorBidi"/>
          <w:sz w:val="24"/>
          <w:szCs w:val="24"/>
        </w:rPr>
        <w:t>. It is postulated that the weaker labial muscular forces do not induce lingual movement of the dentition and subsequent arch length shortening. When teeth are aligned by orthodontic treatment, there is a documented tendency for a return toward the original pattern of malocclusion. For this reason, rotational overcorrection has been advocated</w:t>
      </w:r>
      <w:r w:rsidRPr="009A0A9C">
        <w:rPr>
          <w:rFonts w:asciiTheme="majorBidi" w:hAnsiTheme="majorBidi" w:cstheme="majorBidi"/>
          <w:sz w:val="24"/>
          <w:szCs w:val="24"/>
          <w:vertAlign w:val="superscript"/>
        </w:rPr>
        <w:t>14</w:t>
      </w:r>
      <w:r w:rsidRPr="009A0A9C">
        <w:rPr>
          <w:rFonts w:asciiTheme="majorBidi" w:hAnsiTheme="majorBidi" w:cstheme="majorBidi"/>
          <w:sz w:val="24"/>
          <w:szCs w:val="24"/>
        </w:rPr>
        <w:t>.</w:t>
      </w:r>
    </w:p>
    <w:p w:rsidR="00394F8A" w:rsidRDefault="008A1EFB" w:rsidP="008A1EFB">
      <w:pPr>
        <w:autoSpaceDE w:val="0"/>
        <w:autoSpaceDN w:val="0"/>
        <w:adjustRightInd w:val="0"/>
        <w:spacing w:line="360" w:lineRule="auto"/>
        <w:jc w:val="both"/>
        <w:rPr>
          <w:rFonts w:asciiTheme="majorBidi" w:hAnsiTheme="majorBidi" w:cstheme="majorBidi"/>
          <w:sz w:val="24"/>
          <w:szCs w:val="24"/>
        </w:rPr>
      </w:pPr>
      <w:r w:rsidRPr="009A0A9C">
        <w:rPr>
          <w:rFonts w:asciiTheme="majorBidi" w:hAnsiTheme="majorBidi" w:cstheme="majorBidi"/>
          <w:sz w:val="24"/>
          <w:szCs w:val="24"/>
        </w:rPr>
        <w:lastRenderedPageBreak/>
        <w:t>In a recent study in 2010, to evaluate differences in long-term post retention changes between adolescents and adults, Park et al</w:t>
      </w:r>
      <w:r w:rsidRPr="009A0A9C">
        <w:rPr>
          <w:rFonts w:asciiTheme="majorBidi" w:hAnsiTheme="majorBidi" w:cstheme="majorBidi"/>
          <w:sz w:val="24"/>
          <w:szCs w:val="24"/>
          <w:vertAlign w:val="superscript"/>
        </w:rPr>
        <w:t>15</w:t>
      </w:r>
      <w:r w:rsidRPr="009A0A9C">
        <w:rPr>
          <w:rFonts w:asciiTheme="majorBidi" w:hAnsiTheme="majorBidi" w:cstheme="majorBidi"/>
          <w:sz w:val="24"/>
          <w:szCs w:val="24"/>
        </w:rPr>
        <w:t xml:space="preserve"> studied 96 subjects, 51 adolescents and 45 adults retained for 3 years and followed approximately 16 years post treatment, which were randomly selected from two private practices. Prior to treatment, 38 and 58 had Class I and Class II malocclusions, respectively. Over the 16-year posttreatment period, adolescents showed significantly greater increases in mandibular incisor irregularity, and the PAR index than adults. Treated Class I patients demonstrated less increase in overjet and greater decreases in mandibular intermolar width than Class II patients.</w:t>
      </w:r>
      <w:r w:rsidR="00394F8A">
        <w:rPr>
          <w:rFonts w:asciiTheme="majorBidi" w:hAnsiTheme="majorBidi" w:cstheme="majorBidi"/>
          <w:sz w:val="24"/>
          <w:szCs w:val="24"/>
        </w:rPr>
        <w:t xml:space="preserve"> </w:t>
      </w:r>
    </w:p>
    <w:p w:rsidR="008A1EFB" w:rsidRPr="009A0A9C" w:rsidRDefault="008A1EFB" w:rsidP="008A1EFB">
      <w:pPr>
        <w:autoSpaceDE w:val="0"/>
        <w:autoSpaceDN w:val="0"/>
        <w:adjustRightInd w:val="0"/>
        <w:spacing w:line="360" w:lineRule="auto"/>
        <w:jc w:val="both"/>
        <w:rPr>
          <w:rFonts w:asciiTheme="majorBidi" w:hAnsiTheme="majorBidi" w:cstheme="majorBidi"/>
          <w:sz w:val="24"/>
          <w:szCs w:val="24"/>
        </w:rPr>
      </w:pPr>
      <w:r w:rsidRPr="009A0A9C">
        <w:rPr>
          <w:rFonts w:asciiTheme="majorBidi" w:hAnsiTheme="majorBidi" w:cstheme="majorBidi"/>
          <w:sz w:val="24"/>
          <w:szCs w:val="24"/>
        </w:rPr>
        <w:t xml:space="preserve">One of the limitations of previous studies is disregarding skeletal pattern. </w:t>
      </w:r>
      <w:r w:rsidRPr="009A0A9C">
        <w:rPr>
          <w:rFonts w:asciiTheme="majorBidi" w:hAnsiTheme="majorBidi" w:cstheme="majorBidi"/>
          <w:color w:val="000000"/>
          <w:sz w:val="24"/>
          <w:szCs w:val="24"/>
        </w:rPr>
        <w:t>Regarding the basic differences between patients with Skeletal Class I and Skeletal Class II facial patterns including soft tissue pressure, mandibular size and position, and growth pattern it can be questioned whether the skeletal pattern influences the amount of relapse or not</w:t>
      </w:r>
      <w:r w:rsidRPr="009A0A9C">
        <w:rPr>
          <w:rFonts w:asciiTheme="majorBidi" w:hAnsiTheme="majorBidi" w:cstheme="majorBidi"/>
          <w:color w:val="000000"/>
          <w:sz w:val="24"/>
          <w:szCs w:val="24"/>
          <w:vertAlign w:val="superscript"/>
        </w:rPr>
        <w:t>16-18</w:t>
      </w:r>
      <w:r w:rsidRPr="009A0A9C">
        <w:rPr>
          <w:rFonts w:asciiTheme="majorBidi" w:hAnsiTheme="majorBidi" w:cstheme="majorBidi"/>
          <w:color w:val="000000"/>
          <w:sz w:val="24"/>
          <w:szCs w:val="24"/>
        </w:rPr>
        <w:t>?</w:t>
      </w:r>
      <w:r w:rsidRPr="009A0A9C">
        <w:rPr>
          <w:rFonts w:asciiTheme="majorBidi" w:hAnsiTheme="majorBidi" w:cstheme="majorBidi"/>
          <w:color w:val="000000"/>
          <w:sz w:val="24"/>
          <w:szCs w:val="24"/>
        </w:rPr>
        <w:br/>
        <w:t xml:space="preserve"> The aim of this study is to make a r</w:t>
      </w:r>
      <w:r w:rsidRPr="009A0A9C">
        <w:rPr>
          <w:rFonts w:asciiTheme="majorBidi" w:hAnsiTheme="majorBidi" w:cstheme="majorBidi"/>
          <w:sz w:val="24"/>
          <w:szCs w:val="24"/>
        </w:rPr>
        <w:t>etrospective comparison of long-term stability of first premolar extraction orthodontic treatment in skeletal Cl I and Skeletal Cl II patients.</w:t>
      </w:r>
    </w:p>
    <w:p w:rsidR="008A1EFB" w:rsidRPr="009A0A9C" w:rsidRDefault="008A1EFB" w:rsidP="008A1EFB">
      <w:pPr>
        <w:rPr>
          <w:rFonts w:asciiTheme="majorBidi" w:hAnsiTheme="majorBidi" w:cstheme="majorBidi"/>
          <w:b/>
          <w:color w:val="000000"/>
          <w:sz w:val="24"/>
          <w:szCs w:val="24"/>
        </w:rPr>
      </w:pPr>
      <w:r w:rsidRPr="009A0A9C">
        <w:rPr>
          <w:rFonts w:asciiTheme="majorBidi" w:hAnsiTheme="majorBidi" w:cstheme="majorBidi"/>
          <w:b/>
          <w:color w:val="000000"/>
          <w:sz w:val="24"/>
          <w:szCs w:val="24"/>
        </w:rPr>
        <w:t>Materials &amp; methods</w:t>
      </w:r>
    </w:p>
    <w:p w:rsidR="008A1EFB" w:rsidRPr="009A0A9C" w:rsidRDefault="008A1EFB" w:rsidP="009A0A9C">
      <w:pPr>
        <w:spacing w:line="360" w:lineRule="auto"/>
        <w:rPr>
          <w:rFonts w:asciiTheme="majorBidi" w:hAnsiTheme="majorBidi" w:cstheme="majorBidi"/>
          <w:sz w:val="24"/>
          <w:szCs w:val="24"/>
        </w:rPr>
      </w:pPr>
      <w:r w:rsidRPr="009A0A9C">
        <w:rPr>
          <w:rFonts w:asciiTheme="majorBidi" w:hAnsiTheme="majorBidi" w:cstheme="majorBidi"/>
          <w:sz w:val="24"/>
          <w:szCs w:val="24"/>
        </w:rPr>
        <w:t>The sample of this retrospective analytical study consist</w:t>
      </w:r>
      <w:r w:rsidR="009A0A9C">
        <w:rPr>
          <w:rFonts w:asciiTheme="majorBidi" w:hAnsiTheme="majorBidi" w:cstheme="majorBidi"/>
          <w:sz w:val="24"/>
          <w:szCs w:val="24"/>
        </w:rPr>
        <w:t>ed</w:t>
      </w:r>
      <w:r w:rsidRPr="009A0A9C">
        <w:rPr>
          <w:rFonts w:asciiTheme="majorBidi" w:hAnsiTheme="majorBidi" w:cstheme="majorBidi"/>
          <w:sz w:val="24"/>
          <w:szCs w:val="24"/>
        </w:rPr>
        <w:t xml:space="preserve"> of records of 28 randomly skeletal class I and 28 skeletal Cl II patients(α was set at 0.05 and the power 80%, and the mean difference of 1mm between the groups in irregularity index.). ANB angle and Wits appraisal w</w:t>
      </w:r>
      <w:r w:rsidR="009A0A9C">
        <w:rPr>
          <w:rFonts w:asciiTheme="majorBidi" w:hAnsiTheme="majorBidi" w:cstheme="majorBidi"/>
          <w:sz w:val="24"/>
          <w:szCs w:val="24"/>
        </w:rPr>
        <w:t>ere</w:t>
      </w:r>
      <w:r w:rsidRPr="009A0A9C">
        <w:rPr>
          <w:rFonts w:asciiTheme="majorBidi" w:hAnsiTheme="majorBidi" w:cstheme="majorBidi"/>
          <w:sz w:val="24"/>
          <w:szCs w:val="24"/>
        </w:rPr>
        <w:t xml:space="preserve"> used to divide them into class I and class II. Inclusion criteriawere</w:t>
      </w:r>
      <w:r w:rsidR="009A0A9C">
        <w:rPr>
          <w:rFonts w:asciiTheme="majorBidi" w:hAnsiTheme="majorBidi" w:cstheme="majorBidi"/>
          <w:sz w:val="24"/>
          <w:szCs w:val="24"/>
        </w:rPr>
        <w:t>;</w:t>
      </w:r>
      <w:r w:rsidRPr="009A0A9C">
        <w:rPr>
          <w:rFonts w:asciiTheme="majorBidi" w:hAnsiTheme="majorBidi" w:cstheme="majorBidi"/>
          <w:sz w:val="24"/>
          <w:szCs w:val="24"/>
        </w:rPr>
        <w:t xml:space="preserve"> presence of full records (pretreatment,post-treatment, and post-retention</w:t>
      </w:r>
      <w:r w:rsidRPr="009A0A9C">
        <w:rPr>
          <w:rFonts w:asciiTheme="majorBidi" w:hAnsiTheme="majorBidi" w:cstheme="majorBidi"/>
          <w:b/>
          <w:bCs/>
          <w:sz w:val="24"/>
          <w:szCs w:val="24"/>
        </w:rPr>
        <w:t>),</w:t>
      </w:r>
      <w:r w:rsidRPr="009A0A9C">
        <w:rPr>
          <w:rFonts w:asciiTheme="majorBidi" w:hAnsiTheme="majorBidi" w:cstheme="majorBidi"/>
          <w:sz w:val="24"/>
          <w:szCs w:val="24"/>
        </w:rPr>
        <w:t xml:space="preserve"> four first premolar extractions, </w:t>
      </w:r>
      <w:r w:rsidR="009A0A9C">
        <w:rPr>
          <w:rFonts w:asciiTheme="majorBidi" w:hAnsiTheme="majorBidi" w:cstheme="majorBidi"/>
          <w:sz w:val="24"/>
          <w:szCs w:val="24"/>
        </w:rPr>
        <w:t>a</w:t>
      </w:r>
      <w:r w:rsidRPr="009A0A9C">
        <w:rPr>
          <w:rFonts w:asciiTheme="majorBidi" w:hAnsiTheme="majorBidi" w:cstheme="majorBidi"/>
          <w:sz w:val="24"/>
          <w:szCs w:val="24"/>
        </w:rPr>
        <w:t xml:space="preserve">bsence of tooth anomalies, </w:t>
      </w:r>
      <w:r w:rsidR="009A0A9C">
        <w:rPr>
          <w:rFonts w:asciiTheme="majorBidi" w:hAnsiTheme="majorBidi" w:cstheme="majorBidi"/>
          <w:sz w:val="24"/>
          <w:szCs w:val="24"/>
        </w:rPr>
        <w:t>n</w:t>
      </w:r>
      <w:r w:rsidRPr="009A0A9C">
        <w:rPr>
          <w:rFonts w:asciiTheme="majorBidi" w:hAnsiTheme="majorBidi" w:cstheme="majorBidi"/>
          <w:sz w:val="24"/>
          <w:szCs w:val="24"/>
        </w:rPr>
        <w:t xml:space="preserve">ormal transverse dimensions, and </w:t>
      </w:r>
      <w:r w:rsidR="009A0A9C">
        <w:rPr>
          <w:rFonts w:asciiTheme="majorBidi" w:hAnsiTheme="majorBidi" w:cstheme="majorBidi"/>
          <w:sz w:val="24"/>
          <w:szCs w:val="24"/>
        </w:rPr>
        <w:t>n</w:t>
      </w:r>
      <w:r w:rsidRPr="009A0A9C">
        <w:rPr>
          <w:rFonts w:asciiTheme="majorBidi" w:hAnsiTheme="majorBidi" w:cstheme="majorBidi"/>
          <w:sz w:val="24"/>
          <w:szCs w:val="24"/>
        </w:rPr>
        <w:t>ormal vertical pattern (FMA between 22-28).Exclusion criteria were</w:t>
      </w:r>
      <w:r w:rsidR="009A0A9C">
        <w:rPr>
          <w:rFonts w:asciiTheme="majorBidi" w:hAnsiTheme="majorBidi" w:cstheme="majorBidi"/>
          <w:sz w:val="24"/>
          <w:szCs w:val="24"/>
        </w:rPr>
        <w:t>;</w:t>
      </w:r>
      <w:r w:rsidR="00394F8A">
        <w:rPr>
          <w:rFonts w:asciiTheme="majorBidi" w:hAnsiTheme="majorBidi" w:cstheme="majorBidi"/>
          <w:sz w:val="24"/>
          <w:szCs w:val="24"/>
        </w:rPr>
        <w:t xml:space="preserve"> </w:t>
      </w:r>
      <w:r w:rsidR="009A0A9C">
        <w:rPr>
          <w:rFonts w:asciiTheme="majorBidi" w:hAnsiTheme="majorBidi" w:cstheme="majorBidi"/>
          <w:sz w:val="24"/>
          <w:szCs w:val="24"/>
        </w:rPr>
        <w:t>history of functional therapy, i</w:t>
      </w:r>
      <w:r w:rsidRPr="009A0A9C">
        <w:rPr>
          <w:rFonts w:asciiTheme="majorBidi" w:hAnsiTheme="majorBidi" w:cstheme="majorBidi"/>
          <w:sz w:val="24"/>
          <w:szCs w:val="24"/>
        </w:rPr>
        <w:t>ndicati</w:t>
      </w:r>
      <w:r w:rsidR="009A0A9C">
        <w:rPr>
          <w:rFonts w:asciiTheme="majorBidi" w:hAnsiTheme="majorBidi" w:cstheme="majorBidi"/>
          <w:sz w:val="24"/>
          <w:szCs w:val="24"/>
        </w:rPr>
        <w:t>on of orthognathic surgery, s</w:t>
      </w:r>
      <w:r w:rsidRPr="009A0A9C">
        <w:rPr>
          <w:rFonts w:asciiTheme="majorBidi" w:hAnsiTheme="majorBidi" w:cstheme="majorBidi"/>
          <w:sz w:val="24"/>
          <w:szCs w:val="24"/>
        </w:rPr>
        <w:t>upra</w:t>
      </w:r>
      <w:r w:rsidR="009A0A9C">
        <w:rPr>
          <w:rFonts w:asciiTheme="majorBidi" w:hAnsiTheme="majorBidi" w:cstheme="majorBidi"/>
          <w:sz w:val="24"/>
          <w:szCs w:val="24"/>
        </w:rPr>
        <w:t>crestal fiberotomy, interproximal reduction, non</w:t>
      </w:r>
      <w:r w:rsidRPr="009A0A9C">
        <w:rPr>
          <w:rFonts w:asciiTheme="majorBidi" w:hAnsiTheme="majorBidi" w:cstheme="majorBidi"/>
          <w:sz w:val="24"/>
          <w:szCs w:val="24"/>
        </w:rPr>
        <w:t>compliance wi</w:t>
      </w:r>
      <w:r w:rsidR="009A0A9C">
        <w:rPr>
          <w:rFonts w:asciiTheme="majorBidi" w:hAnsiTheme="majorBidi" w:cstheme="majorBidi"/>
          <w:sz w:val="24"/>
          <w:szCs w:val="24"/>
        </w:rPr>
        <w:t>th the retainer appliance, and a</w:t>
      </w:r>
      <w:r w:rsidRPr="009A0A9C">
        <w:rPr>
          <w:rFonts w:asciiTheme="majorBidi" w:hAnsiTheme="majorBidi" w:cstheme="majorBidi"/>
          <w:sz w:val="24"/>
          <w:szCs w:val="24"/>
        </w:rPr>
        <w:t>bsence in follow up visits.</w:t>
      </w:r>
    </w:p>
    <w:p w:rsidR="008A1EFB" w:rsidRPr="009A0A9C" w:rsidRDefault="008A1EFB" w:rsidP="00394F8A">
      <w:pPr>
        <w:autoSpaceDE w:val="0"/>
        <w:autoSpaceDN w:val="0"/>
        <w:adjustRightInd w:val="0"/>
        <w:spacing w:line="360" w:lineRule="auto"/>
        <w:jc w:val="both"/>
        <w:rPr>
          <w:rFonts w:asciiTheme="majorBidi" w:hAnsiTheme="majorBidi" w:cstheme="majorBidi"/>
          <w:sz w:val="24"/>
          <w:szCs w:val="24"/>
        </w:rPr>
      </w:pPr>
      <w:r w:rsidRPr="009A0A9C">
        <w:rPr>
          <w:rFonts w:asciiTheme="majorBidi" w:hAnsiTheme="majorBidi" w:cstheme="majorBidi"/>
          <w:sz w:val="24"/>
          <w:szCs w:val="24"/>
        </w:rPr>
        <w:t xml:space="preserve">All samples underwent routine orthodontic therapy by one of the authors with 18 slot standard edgewise appliance and were at least 10 years post-retention period. The retention period for all samples included 4 months full-time Hawley Retainer in maxilla and mandible, and 8 months of night-time wear of the appliance. The patients in the mentioned practice are followed monthly for one year after debonding, and on a yearly basis for 5 years afterwards. Samples were matched two-by-two according to the amount of </w:t>
      </w:r>
      <w:r w:rsidR="00394F8A">
        <w:rPr>
          <w:rFonts w:asciiTheme="majorBidi" w:hAnsiTheme="majorBidi" w:cstheme="majorBidi"/>
          <w:sz w:val="24"/>
          <w:szCs w:val="24"/>
        </w:rPr>
        <w:t>crowding and irregularity index</w:t>
      </w:r>
      <w:r w:rsidRPr="009A0A9C">
        <w:rPr>
          <w:rFonts w:asciiTheme="majorBidi" w:hAnsiTheme="majorBidi" w:cstheme="majorBidi"/>
          <w:sz w:val="24"/>
          <w:szCs w:val="24"/>
        </w:rPr>
        <w:t xml:space="preserve">. Treatment quality, results and the amount of change post-treatment had no influence in inclusion or exclusion of the cases. </w:t>
      </w:r>
    </w:p>
    <w:p w:rsidR="008A1EFB" w:rsidRPr="009A0A9C" w:rsidRDefault="008A1EFB" w:rsidP="008A1EFB">
      <w:pPr>
        <w:spacing w:line="360" w:lineRule="auto"/>
        <w:rPr>
          <w:rFonts w:asciiTheme="majorBidi" w:hAnsiTheme="majorBidi" w:cstheme="majorBidi"/>
          <w:sz w:val="24"/>
          <w:szCs w:val="24"/>
        </w:rPr>
      </w:pPr>
      <w:r w:rsidRPr="009A0A9C">
        <w:rPr>
          <w:rFonts w:asciiTheme="majorBidi" w:hAnsiTheme="majorBidi" w:cstheme="majorBidi"/>
          <w:sz w:val="24"/>
          <w:szCs w:val="24"/>
        </w:rPr>
        <w:lastRenderedPageBreak/>
        <w:t>To calculate the amount relap</w:t>
      </w:r>
      <w:r w:rsidR="00394F8A">
        <w:rPr>
          <w:rFonts w:asciiTheme="majorBidi" w:hAnsiTheme="majorBidi" w:cstheme="majorBidi"/>
          <w:sz w:val="24"/>
          <w:szCs w:val="24"/>
        </w:rPr>
        <w:t>se, i</w:t>
      </w:r>
      <w:r w:rsidRPr="009A0A9C">
        <w:rPr>
          <w:rFonts w:asciiTheme="majorBidi" w:hAnsiTheme="majorBidi" w:cstheme="majorBidi"/>
          <w:sz w:val="24"/>
          <w:szCs w:val="24"/>
        </w:rPr>
        <w:t>rregularity index, mandibular arch perimeter, mandibular intercanine width and intermolar width were measured by a single blind examiner for each set of casts with a digital caliper calibrated to 0.01 mm. After a two-week interval from the first measurement, the dental casts of ten patients were randomly selected and re-measured by the same examiner. The t test for differences between the replications showed statistically no signiﬁcant differences and indicated the reliability of the measurements.</w:t>
      </w:r>
    </w:p>
    <w:p w:rsidR="00C32BBE" w:rsidRDefault="00C32BBE" w:rsidP="00C32BBE">
      <w:pPr>
        <w:spacing w:line="360" w:lineRule="auto"/>
        <w:jc w:val="both"/>
        <w:rPr>
          <w:rFonts w:asciiTheme="majorBidi" w:hAnsiTheme="majorBidi" w:cstheme="majorBidi"/>
          <w:b/>
          <w:bCs/>
          <w:sz w:val="24"/>
          <w:szCs w:val="24"/>
        </w:rPr>
      </w:pPr>
    </w:p>
    <w:p w:rsidR="00C32BBE" w:rsidRDefault="00C32BBE" w:rsidP="00C32BBE">
      <w:pPr>
        <w:spacing w:line="360" w:lineRule="auto"/>
        <w:jc w:val="both"/>
        <w:rPr>
          <w:rFonts w:asciiTheme="majorBidi" w:hAnsiTheme="majorBidi" w:cstheme="majorBidi"/>
          <w:b/>
          <w:bCs/>
          <w:sz w:val="24"/>
          <w:szCs w:val="24"/>
        </w:rPr>
      </w:pPr>
    </w:p>
    <w:p w:rsidR="00C32BBE" w:rsidRDefault="008A1EFB" w:rsidP="00C32BBE">
      <w:pPr>
        <w:spacing w:line="360" w:lineRule="auto"/>
        <w:jc w:val="both"/>
        <w:rPr>
          <w:rFonts w:asciiTheme="majorBidi" w:hAnsiTheme="majorBidi" w:cstheme="majorBidi"/>
          <w:sz w:val="24"/>
          <w:szCs w:val="24"/>
        </w:rPr>
      </w:pPr>
      <w:r w:rsidRPr="009A0A9C">
        <w:rPr>
          <w:rFonts w:asciiTheme="majorBidi" w:hAnsiTheme="majorBidi" w:cstheme="majorBidi"/>
          <w:b/>
          <w:bCs/>
          <w:sz w:val="24"/>
          <w:szCs w:val="24"/>
        </w:rPr>
        <w:t>Statistical analysis</w:t>
      </w:r>
    </w:p>
    <w:p w:rsidR="008A1EFB" w:rsidRPr="009A0A9C" w:rsidRDefault="008A1EFB" w:rsidP="00C32BBE">
      <w:pPr>
        <w:spacing w:line="360" w:lineRule="auto"/>
        <w:jc w:val="both"/>
        <w:rPr>
          <w:rFonts w:asciiTheme="majorBidi" w:hAnsiTheme="majorBidi" w:cstheme="majorBidi"/>
          <w:sz w:val="24"/>
          <w:szCs w:val="24"/>
        </w:rPr>
      </w:pPr>
      <w:r w:rsidRPr="009A0A9C">
        <w:rPr>
          <w:rFonts w:asciiTheme="majorBidi" w:hAnsiTheme="majorBidi" w:cstheme="majorBidi"/>
          <w:sz w:val="24"/>
          <w:szCs w:val="24"/>
        </w:rPr>
        <w:t>Data were processed with SPSS 13 software. Smirnov</w:t>
      </w:r>
      <w:r w:rsidR="00C32BBE">
        <w:rPr>
          <w:rFonts w:asciiTheme="majorBidi" w:hAnsiTheme="majorBidi" w:cstheme="majorBidi"/>
          <w:sz w:val="24"/>
          <w:szCs w:val="24"/>
        </w:rPr>
        <w:t>-</w:t>
      </w:r>
      <w:r w:rsidRPr="009A0A9C">
        <w:rPr>
          <w:rFonts w:asciiTheme="majorBidi" w:hAnsiTheme="majorBidi" w:cstheme="majorBidi"/>
          <w:sz w:val="24"/>
          <w:szCs w:val="24"/>
        </w:rPr>
        <w:t>Kolmogrov test was applied to test normality of data distribution. Descriptive analysis includes mean, standard deviation, standard error, minimum and maximum for each variable. Independent sample t-test was used to compare Class I and Class II. Paired t-test was used to compare differences of each variable at the intervals.</w:t>
      </w:r>
    </w:p>
    <w:p w:rsidR="008A1EFB" w:rsidRDefault="008A1EFB" w:rsidP="008A1EFB">
      <w:pPr>
        <w:spacing w:line="360" w:lineRule="auto"/>
        <w:jc w:val="both"/>
        <w:rPr>
          <w:rFonts w:asciiTheme="majorBidi" w:hAnsiTheme="majorBidi" w:cstheme="majorBidi"/>
          <w:b/>
          <w:color w:val="000000"/>
          <w:sz w:val="24"/>
          <w:szCs w:val="24"/>
        </w:rPr>
      </w:pPr>
      <w:r w:rsidRPr="009A0A9C">
        <w:rPr>
          <w:rFonts w:asciiTheme="majorBidi" w:hAnsiTheme="majorBidi" w:cstheme="majorBidi"/>
          <w:b/>
          <w:color w:val="000000"/>
          <w:sz w:val="24"/>
          <w:szCs w:val="24"/>
        </w:rPr>
        <w:t>Results</w:t>
      </w:r>
    </w:p>
    <w:p w:rsidR="008908CD" w:rsidRDefault="00C32BBE" w:rsidP="008908CD">
      <w:pPr>
        <w:spacing w:line="360" w:lineRule="auto"/>
        <w:jc w:val="both"/>
        <w:rPr>
          <w:rFonts w:asciiTheme="majorBidi" w:hAnsiTheme="majorBidi" w:cstheme="majorBidi"/>
          <w:sz w:val="24"/>
          <w:szCs w:val="24"/>
        </w:rPr>
      </w:pPr>
      <w:r w:rsidRPr="00C32BBE">
        <w:rPr>
          <w:rFonts w:asciiTheme="majorBidi" w:hAnsiTheme="majorBidi" w:cstheme="majorBidi"/>
          <w:sz w:val="24"/>
          <w:szCs w:val="24"/>
        </w:rPr>
        <w:t>The sample consisted of 56 patients with a mean pretreatment age of 16.5±1.54 years. The mean pretreatment age of class I was 17.2±1.47 and class II 15.8±1.61 years. The mean treatment time was 20.5±4.4 months. Smirnov-Komlmogrof test showed normal distribution therefore parametric tests could be used.</w:t>
      </w:r>
    </w:p>
    <w:p w:rsidR="008908CD" w:rsidRPr="00C32BBE" w:rsidRDefault="008908CD" w:rsidP="008908CD">
      <w:pPr>
        <w:spacing w:line="360" w:lineRule="auto"/>
        <w:jc w:val="both"/>
        <w:rPr>
          <w:rFonts w:asciiTheme="majorBidi" w:hAnsiTheme="majorBidi" w:cstheme="majorBidi"/>
          <w:sz w:val="24"/>
          <w:szCs w:val="24"/>
        </w:rPr>
      </w:pPr>
      <w:r>
        <w:rPr>
          <w:rFonts w:asciiTheme="majorBidi" w:hAnsiTheme="majorBidi" w:cstheme="majorBidi"/>
          <w:sz w:val="24"/>
          <w:szCs w:val="24"/>
        </w:rPr>
        <w:t>Comparison of skeletal class I and class II</w:t>
      </w:r>
    </w:p>
    <w:p w:rsidR="008908CD" w:rsidRDefault="00C32BBE" w:rsidP="008908CD">
      <w:pPr>
        <w:tabs>
          <w:tab w:val="left" w:pos="5840"/>
        </w:tabs>
        <w:spacing w:line="360" w:lineRule="auto"/>
        <w:contextualSpacing/>
        <w:jc w:val="both"/>
        <w:rPr>
          <w:rFonts w:asciiTheme="majorBidi" w:hAnsiTheme="majorBidi" w:cstheme="majorBidi"/>
          <w:sz w:val="24"/>
          <w:szCs w:val="24"/>
        </w:rPr>
      </w:pPr>
      <w:r w:rsidRPr="00C32BBE">
        <w:rPr>
          <w:rFonts w:asciiTheme="majorBidi" w:hAnsiTheme="majorBidi" w:cstheme="majorBidi"/>
          <w:sz w:val="24"/>
          <w:szCs w:val="24"/>
        </w:rPr>
        <w:t>Independent sample t-test showed that at the pretreatment stage the mean intercanine width had no significant difference between groups. There was also no significant difference between intercanine width of class I and Class II groups at post-treatment and post-retention.           At the pretreatment stage the mean intermolar width had no significant difference between groups. There was a significant difference between intermolar width of class I and Class II groups at post-treatment stage (t=2.74, p= 0.008), class I cases having a larger intermolar distance. The difference at post-retention was not significant.</w:t>
      </w:r>
    </w:p>
    <w:p w:rsidR="00C32BBE" w:rsidRPr="00C32BBE" w:rsidRDefault="00C32BBE" w:rsidP="008908CD">
      <w:pPr>
        <w:tabs>
          <w:tab w:val="left" w:pos="5840"/>
        </w:tabs>
        <w:spacing w:line="360" w:lineRule="auto"/>
        <w:contextualSpacing/>
        <w:jc w:val="both"/>
        <w:rPr>
          <w:rFonts w:asciiTheme="majorBidi" w:hAnsiTheme="majorBidi" w:cstheme="majorBidi"/>
          <w:sz w:val="24"/>
          <w:szCs w:val="24"/>
        </w:rPr>
      </w:pPr>
      <w:r w:rsidRPr="00C32BBE">
        <w:rPr>
          <w:rFonts w:asciiTheme="majorBidi" w:hAnsiTheme="majorBidi" w:cstheme="majorBidi"/>
          <w:sz w:val="24"/>
          <w:szCs w:val="24"/>
        </w:rPr>
        <w:t xml:space="preserve">At the pretreatment stage the mean irregularity index had no significant difference between groups. There was also no significant difference between irregularity index of class I and </w:t>
      </w:r>
      <w:r w:rsidRPr="00C32BBE">
        <w:rPr>
          <w:rFonts w:asciiTheme="majorBidi" w:hAnsiTheme="majorBidi" w:cstheme="majorBidi"/>
          <w:sz w:val="24"/>
          <w:szCs w:val="24"/>
        </w:rPr>
        <w:lastRenderedPageBreak/>
        <w:t xml:space="preserve">Class II groups at post-treatment period. But there was significantly more irregularity observed at post-retention </w:t>
      </w:r>
      <w:r w:rsidR="008908CD">
        <w:rPr>
          <w:rFonts w:asciiTheme="majorBidi" w:hAnsiTheme="majorBidi" w:cstheme="majorBidi"/>
          <w:sz w:val="24"/>
          <w:szCs w:val="24"/>
        </w:rPr>
        <w:t>in Class I group (Table 1</w:t>
      </w:r>
      <w:r w:rsidRPr="00C32BBE">
        <w:rPr>
          <w:rFonts w:asciiTheme="majorBidi" w:hAnsiTheme="majorBidi" w:cstheme="majorBidi"/>
          <w:sz w:val="24"/>
          <w:szCs w:val="24"/>
        </w:rPr>
        <w:t xml:space="preserve">). </w:t>
      </w:r>
    </w:p>
    <w:p w:rsidR="00C32BBE" w:rsidRPr="00C32BBE" w:rsidRDefault="00C32BBE" w:rsidP="00C32BBE">
      <w:pPr>
        <w:tabs>
          <w:tab w:val="left" w:pos="5840"/>
        </w:tabs>
        <w:spacing w:line="360" w:lineRule="auto"/>
        <w:contextualSpacing/>
        <w:jc w:val="both"/>
        <w:rPr>
          <w:rFonts w:asciiTheme="majorBidi" w:hAnsiTheme="majorBidi" w:cstheme="majorBidi"/>
          <w:sz w:val="24"/>
          <w:szCs w:val="24"/>
          <w:rtl/>
        </w:rPr>
      </w:pPr>
      <w:r w:rsidRPr="00C32BBE">
        <w:rPr>
          <w:rFonts w:asciiTheme="majorBidi" w:hAnsiTheme="majorBidi" w:cstheme="majorBidi"/>
          <w:sz w:val="24"/>
          <w:szCs w:val="24"/>
        </w:rPr>
        <w:t>At the pretreatment stage the mean arch length had no significant difference between groups. There was also no significant difference between arch length of class I and Class II groups at post-treatment and post-retention.</w:t>
      </w:r>
    </w:p>
    <w:p w:rsidR="00C32BBE" w:rsidRPr="00C32BBE" w:rsidRDefault="00C32BBE" w:rsidP="00C32BBE">
      <w:pPr>
        <w:tabs>
          <w:tab w:val="left" w:pos="5840"/>
        </w:tabs>
        <w:spacing w:line="360" w:lineRule="auto"/>
        <w:contextualSpacing/>
        <w:jc w:val="both"/>
        <w:rPr>
          <w:rFonts w:asciiTheme="majorBidi" w:hAnsiTheme="majorBidi" w:cstheme="majorBidi"/>
          <w:b/>
          <w:bCs/>
          <w:sz w:val="24"/>
          <w:szCs w:val="24"/>
        </w:rPr>
      </w:pPr>
      <w:r w:rsidRPr="00C32BBE">
        <w:rPr>
          <w:rFonts w:asciiTheme="majorBidi" w:hAnsiTheme="majorBidi" w:cstheme="majorBidi"/>
          <w:b/>
          <w:bCs/>
          <w:sz w:val="24"/>
          <w:szCs w:val="24"/>
        </w:rPr>
        <w:t xml:space="preserve">Relapse tendency comparison </w:t>
      </w:r>
    </w:p>
    <w:p w:rsidR="008908CD" w:rsidRDefault="00C32BBE" w:rsidP="008908CD">
      <w:pPr>
        <w:tabs>
          <w:tab w:val="left" w:pos="5840"/>
        </w:tabs>
        <w:spacing w:line="360" w:lineRule="auto"/>
        <w:contextualSpacing/>
        <w:jc w:val="both"/>
        <w:rPr>
          <w:rFonts w:asciiTheme="majorBidi" w:hAnsiTheme="majorBidi" w:cstheme="majorBidi"/>
          <w:sz w:val="24"/>
          <w:szCs w:val="24"/>
        </w:rPr>
      </w:pPr>
      <w:r w:rsidRPr="00C32BBE">
        <w:rPr>
          <w:rFonts w:asciiTheme="majorBidi" w:hAnsiTheme="majorBidi" w:cstheme="majorBidi"/>
          <w:sz w:val="24"/>
          <w:szCs w:val="24"/>
        </w:rPr>
        <w:t>To compare relapse tendency post-retention intercanine width value was subtracted from post-treatment value. Independent t-test showed significantly more relapse in intercanine width of Class I group.</w:t>
      </w:r>
      <w:r w:rsidR="008908CD">
        <w:rPr>
          <w:rFonts w:asciiTheme="majorBidi" w:hAnsiTheme="majorBidi" w:cstheme="majorBidi"/>
          <w:sz w:val="24"/>
          <w:szCs w:val="24"/>
        </w:rPr>
        <w:t xml:space="preserve"> (Table2,3)</w:t>
      </w:r>
    </w:p>
    <w:p w:rsidR="00C32BBE" w:rsidRPr="00C32BBE" w:rsidRDefault="00C32BBE" w:rsidP="008908CD">
      <w:pPr>
        <w:tabs>
          <w:tab w:val="left" w:pos="5840"/>
        </w:tabs>
        <w:spacing w:line="360" w:lineRule="auto"/>
        <w:contextualSpacing/>
        <w:jc w:val="both"/>
        <w:rPr>
          <w:rFonts w:asciiTheme="majorBidi" w:hAnsiTheme="majorBidi" w:cstheme="majorBidi"/>
          <w:sz w:val="24"/>
          <w:szCs w:val="24"/>
        </w:rPr>
      </w:pPr>
      <w:r w:rsidRPr="00C32BBE">
        <w:rPr>
          <w:rFonts w:asciiTheme="majorBidi" w:hAnsiTheme="majorBidi" w:cstheme="majorBidi"/>
          <w:sz w:val="24"/>
          <w:szCs w:val="24"/>
        </w:rPr>
        <w:t xml:space="preserve">Post-retention intermolar width value was subtracted from post-treatment value. Independent t-test showed no significant difference between groups. </w:t>
      </w:r>
    </w:p>
    <w:p w:rsidR="00C32BBE" w:rsidRPr="00C32BBE" w:rsidRDefault="008908CD" w:rsidP="00C32BBE">
      <w:pPr>
        <w:tabs>
          <w:tab w:val="left" w:pos="5840"/>
        </w:tabs>
        <w:spacing w:line="360" w:lineRule="auto"/>
        <w:contextualSpacing/>
        <w:jc w:val="both"/>
        <w:rPr>
          <w:rFonts w:asciiTheme="majorBidi" w:hAnsiTheme="majorBidi" w:cstheme="majorBidi"/>
          <w:sz w:val="24"/>
          <w:szCs w:val="24"/>
        </w:rPr>
      </w:pPr>
      <w:r>
        <w:rPr>
          <w:rFonts w:asciiTheme="majorBidi" w:hAnsiTheme="majorBidi" w:cstheme="majorBidi"/>
          <w:sz w:val="24"/>
          <w:szCs w:val="24"/>
        </w:rPr>
        <w:t>T</w:t>
      </w:r>
      <w:r w:rsidR="00C32BBE" w:rsidRPr="00C32BBE">
        <w:rPr>
          <w:rFonts w:asciiTheme="majorBidi" w:hAnsiTheme="majorBidi" w:cstheme="majorBidi"/>
          <w:sz w:val="24"/>
          <w:szCs w:val="24"/>
        </w:rPr>
        <w:t>o compare relapse tendency post-retention irregularity index value was subtracted from post-treatment value. Independent t-test showed significantly more relapse in irregularity in</w:t>
      </w:r>
      <w:r>
        <w:rPr>
          <w:rFonts w:asciiTheme="majorBidi" w:hAnsiTheme="majorBidi" w:cstheme="majorBidi"/>
          <w:sz w:val="24"/>
          <w:szCs w:val="24"/>
        </w:rPr>
        <w:t>dex of Class I group. (Table4)</w:t>
      </w:r>
    </w:p>
    <w:p w:rsidR="00C32BBE" w:rsidRPr="00C32BBE" w:rsidRDefault="00C32BBE" w:rsidP="008908CD">
      <w:pPr>
        <w:tabs>
          <w:tab w:val="left" w:pos="5840"/>
        </w:tabs>
        <w:spacing w:line="360" w:lineRule="auto"/>
        <w:contextualSpacing/>
        <w:jc w:val="both"/>
        <w:rPr>
          <w:rFonts w:asciiTheme="majorBidi" w:hAnsiTheme="majorBidi" w:cstheme="majorBidi"/>
          <w:sz w:val="24"/>
          <w:szCs w:val="24"/>
        </w:rPr>
      </w:pPr>
      <w:r w:rsidRPr="00C32BBE">
        <w:rPr>
          <w:rFonts w:asciiTheme="majorBidi" w:hAnsiTheme="majorBidi" w:cstheme="majorBidi"/>
          <w:sz w:val="24"/>
          <w:szCs w:val="24"/>
        </w:rPr>
        <w:t xml:space="preserve">Post-retention arch length value was subtracted from post-treatment value. Independent t-test showed significantly more relapse in arch length of Class I group (t=3.61, p= 0.001). </w:t>
      </w:r>
    </w:p>
    <w:p w:rsidR="00C32BBE" w:rsidRPr="00C32BBE" w:rsidRDefault="00C32BBE" w:rsidP="00C32BBE">
      <w:pPr>
        <w:tabs>
          <w:tab w:val="left" w:pos="5840"/>
        </w:tabs>
        <w:spacing w:line="360" w:lineRule="auto"/>
        <w:contextualSpacing/>
        <w:jc w:val="both"/>
        <w:rPr>
          <w:rFonts w:asciiTheme="majorBidi" w:hAnsiTheme="majorBidi" w:cstheme="majorBidi"/>
          <w:sz w:val="24"/>
          <w:szCs w:val="24"/>
        </w:rPr>
      </w:pPr>
    </w:p>
    <w:p w:rsidR="00C32BBE" w:rsidRDefault="00C32BBE" w:rsidP="002B0D50">
      <w:pPr>
        <w:spacing w:line="360" w:lineRule="auto"/>
        <w:contextualSpacing/>
        <w:jc w:val="both"/>
        <w:rPr>
          <w:rFonts w:asciiTheme="majorBidi" w:hAnsiTheme="majorBidi" w:cstheme="majorBidi"/>
          <w:sz w:val="24"/>
          <w:szCs w:val="24"/>
        </w:rPr>
      </w:pPr>
      <w:r w:rsidRPr="00C32BBE">
        <w:rPr>
          <w:rFonts w:asciiTheme="majorBidi" w:hAnsiTheme="majorBidi" w:cstheme="majorBidi"/>
          <w:sz w:val="24"/>
          <w:szCs w:val="24"/>
        </w:rPr>
        <w:t xml:space="preserve">There were positive and direct correlations found between the degree of pre-treatment irregularity and irregularity index post-retention using Pearson's Correlation test, cases with more pretreatment irregularity showed greater crowding post-retention, (r=0.78, p&lt;0.001). </w:t>
      </w:r>
    </w:p>
    <w:p w:rsidR="008908CD" w:rsidRDefault="008908CD" w:rsidP="008908CD"/>
    <w:p w:rsidR="008908CD" w:rsidRPr="0040612A" w:rsidRDefault="002B0D50" w:rsidP="002B0D50">
      <w:pPr>
        <w:rPr>
          <w:rFonts w:cs="B Lotus"/>
          <w:sz w:val="18"/>
          <w:szCs w:val="18"/>
          <w:rtl/>
          <w:lang w:bidi="fa-IR"/>
        </w:rPr>
      </w:pPr>
      <w:r w:rsidRPr="0040612A">
        <w:rPr>
          <w:rFonts w:cs="B Lotus"/>
          <w:b/>
          <w:bCs/>
          <w:sz w:val="18"/>
          <w:szCs w:val="18"/>
        </w:rPr>
        <w:t>Table</w:t>
      </w:r>
      <w:r>
        <w:rPr>
          <w:rFonts w:cs="B Lotus"/>
          <w:b/>
          <w:bCs/>
          <w:sz w:val="18"/>
          <w:szCs w:val="18"/>
        </w:rPr>
        <w:t>1.</w:t>
      </w:r>
      <w:r w:rsidR="008908CD" w:rsidRPr="0040612A">
        <w:rPr>
          <w:rFonts w:cs="B Lotus"/>
          <w:sz w:val="18"/>
          <w:szCs w:val="18"/>
        </w:rPr>
        <w:t>Comparison of mean p</w:t>
      </w:r>
      <w:r w:rsidR="008908CD">
        <w:rPr>
          <w:rFonts w:cs="B Lotus"/>
          <w:sz w:val="18"/>
          <w:szCs w:val="18"/>
        </w:rPr>
        <w:t>ostretention irregularity index</w:t>
      </w:r>
      <w:r w:rsidR="008908CD" w:rsidRPr="0040612A">
        <w:rPr>
          <w:rFonts w:cs="B Lotus"/>
          <w:sz w:val="18"/>
          <w:szCs w:val="18"/>
        </w:rPr>
        <w:t xml:space="preserve"> between groups.</w:t>
      </w:r>
    </w:p>
    <w:tbl>
      <w:tblPr>
        <w:tblW w:w="88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20"/>
        <w:gridCol w:w="605"/>
        <w:gridCol w:w="1683"/>
        <w:gridCol w:w="673"/>
        <w:gridCol w:w="717"/>
        <w:gridCol w:w="935"/>
        <w:gridCol w:w="748"/>
        <w:gridCol w:w="697"/>
        <w:gridCol w:w="887"/>
      </w:tblGrid>
      <w:tr w:rsidR="008908CD" w:rsidRPr="00915842" w:rsidTr="006A68BF">
        <w:trPr>
          <w:trHeight w:val="629"/>
          <w:jc w:val="center"/>
        </w:trPr>
        <w:tc>
          <w:tcPr>
            <w:tcW w:w="1920" w:type="dxa"/>
            <w:shd w:val="thinReverseDiagStripe" w:color="C0C0C0" w:fill="999999"/>
            <w:vAlign w:val="center"/>
          </w:tcPr>
          <w:p w:rsidR="008908CD" w:rsidRPr="00915842" w:rsidRDefault="008908CD" w:rsidP="006A68BF">
            <w:pPr>
              <w:jc w:val="center"/>
              <w:rPr>
                <w:rFonts w:cs="B Lotus"/>
                <w:b/>
                <w:bCs/>
                <w:sz w:val="18"/>
                <w:szCs w:val="18"/>
              </w:rPr>
            </w:pPr>
            <w:r w:rsidRPr="00915842">
              <w:rPr>
                <w:b/>
                <w:bCs/>
                <w:sz w:val="18"/>
                <w:szCs w:val="18"/>
              </w:rPr>
              <w:t>Group</w:t>
            </w:r>
          </w:p>
        </w:tc>
        <w:tc>
          <w:tcPr>
            <w:tcW w:w="605" w:type="dxa"/>
            <w:vAlign w:val="center"/>
          </w:tcPr>
          <w:p w:rsidR="008908CD" w:rsidRPr="00915842" w:rsidRDefault="008908CD" w:rsidP="006A68BF">
            <w:pPr>
              <w:jc w:val="center"/>
              <w:rPr>
                <w:rFonts w:cs="B Lotus"/>
                <w:sz w:val="18"/>
                <w:szCs w:val="18"/>
              </w:rPr>
            </w:pPr>
            <w:r w:rsidRPr="00915842">
              <w:rPr>
                <w:rFonts w:cs="B Lotus"/>
                <w:sz w:val="18"/>
                <w:szCs w:val="18"/>
              </w:rPr>
              <w:t>N</w:t>
            </w:r>
          </w:p>
        </w:tc>
        <w:tc>
          <w:tcPr>
            <w:tcW w:w="1683" w:type="dxa"/>
            <w:vAlign w:val="center"/>
          </w:tcPr>
          <w:p w:rsidR="008908CD" w:rsidRPr="00915842" w:rsidRDefault="008908CD" w:rsidP="006A68BF">
            <w:pPr>
              <w:jc w:val="center"/>
              <w:rPr>
                <w:rFonts w:cs="B Lotus"/>
                <w:sz w:val="18"/>
                <w:szCs w:val="18"/>
              </w:rPr>
            </w:pPr>
            <w:r w:rsidRPr="00915842">
              <w:rPr>
                <w:rFonts w:cs="B Lotus"/>
                <w:sz w:val="18"/>
                <w:szCs w:val="18"/>
              </w:rPr>
              <w:t>Mean</w:t>
            </w:r>
            <w:r w:rsidRPr="00915842">
              <w:rPr>
                <w:rFonts w:cs="B Lotus" w:hint="eastAsia"/>
                <w:sz w:val="18"/>
                <w:szCs w:val="18"/>
              </w:rPr>
              <w:t>±</w:t>
            </w:r>
            <w:r w:rsidRPr="00915842">
              <w:rPr>
                <w:rFonts w:cs="B Lotus"/>
                <w:sz w:val="18"/>
                <w:szCs w:val="18"/>
              </w:rPr>
              <w:t>SD</w:t>
            </w:r>
          </w:p>
        </w:tc>
        <w:tc>
          <w:tcPr>
            <w:tcW w:w="673" w:type="dxa"/>
            <w:vAlign w:val="center"/>
          </w:tcPr>
          <w:p w:rsidR="008908CD" w:rsidRPr="00915842" w:rsidRDefault="008908CD" w:rsidP="006A68BF">
            <w:pPr>
              <w:jc w:val="center"/>
              <w:rPr>
                <w:sz w:val="18"/>
                <w:szCs w:val="18"/>
              </w:rPr>
            </w:pPr>
            <w:r w:rsidRPr="00915842">
              <w:rPr>
                <w:sz w:val="18"/>
                <w:szCs w:val="18"/>
              </w:rPr>
              <w:t>Total mean</w:t>
            </w:r>
          </w:p>
        </w:tc>
        <w:tc>
          <w:tcPr>
            <w:tcW w:w="717" w:type="dxa"/>
            <w:vAlign w:val="center"/>
          </w:tcPr>
          <w:p w:rsidR="008908CD" w:rsidRPr="00915842" w:rsidRDefault="008908CD" w:rsidP="006A68BF">
            <w:pPr>
              <w:jc w:val="center"/>
              <w:rPr>
                <w:sz w:val="18"/>
                <w:szCs w:val="18"/>
                <w:rtl/>
              </w:rPr>
            </w:pPr>
            <w:r w:rsidRPr="00915842">
              <w:rPr>
                <w:sz w:val="18"/>
                <w:szCs w:val="18"/>
              </w:rPr>
              <w:t>F</w:t>
            </w:r>
          </w:p>
        </w:tc>
        <w:tc>
          <w:tcPr>
            <w:tcW w:w="935" w:type="dxa"/>
            <w:vAlign w:val="center"/>
          </w:tcPr>
          <w:p w:rsidR="008908CD" w:rsidRPr="00915842" w:rsidRDefault="008908CD" w:rsidP="006A68BF">
            <w:pPr>
              <w:jc w:val="center"/>
              <w:rPr>
                <w:sz w:val="18"/>
                <w:szCs w:val="18"/>
                <w:rtl/>
              </w:rPr>
            </w:pPr>
            <w:r w:rsidRPr="00915842">
              <w:rPr>
                <w:rFonts w:cs="B Lotus"/>
                <w:sz w:val="18"/>
                <w:szCs w:val="18"/>
                <w:lang w:val="az-Latn-AZ"/>
              </w:rPr>
              <w:t>P</w:t>
            </w:r>
            <w:r w:rsidRPr="00915842">
              <w:rPr>
                <w:rFonts w:cs="B Lotus"/>
                <w:sz w:val="18"/>
                <w:szCs w:val="18"/>
              </w:rPr>
              <w:t>-Value</w:t>
            </w:r>
          </w:p>
        </w:tc>
        <w:tc>
          <w:tcPr>
            <w:tcW w:w="748" w:type="dxa"/>
            <w:vAlign w:val="center"/>
          </w:tcPr>
          <w:p w:rsidR="008908CD" w:rsidRPr="00915842" w:rsidRDefault="008908CD" w:rsidP="006A68BF">
            <w:pPr>
              <w:jc w:val="center"/>
              <w:rPr>
                <w:sz w:val="18"/>
                <w:szCs w:val="18"/>
                <w:rtl/>
              </w:rPr>
            </w:pPr>
            <w:r w:rsidRPr="00915842">
              <w:rPr>
                <w:sz w:val="18"/>
                <w:szCs w:val="18"/>
              </w:rPr>
              <w:t>t</w:t>
            </w:r>
          </w:p>
        </w:tc>
        <w:tc>
          <w:tcPr>
            <w:tcW w:w="697" w:type="dxa"/>
            <w:vAlign w:val="center"/>
          </w:tcPr>
          <w:p w:rsidR="008908CD" w:rsidRPr="00915842" w:rsidRDefault="008908CD" w:rsidP="006A68BF">
            <w:pPr>
              <w:jc w:val="center"/>
              <w:rPr>
                <w:sz w:val="18"/>
                <w:szCs w:val="18"/>
              </w:rPr>
            </w:pPr>
            <w:r w:rsidRPr="00915842">
              <w:rPr>
                <w:sz w:val="18"/>
                <w:szCs w:val="18"/>
              </w:rPr>
              <w:t>Df</w:t>
            </w:r>
          </w:p>
        </w:tc>
        <w:tc>
          <w:tcPr>
            <w:tcW w:w="887" w:type="dxa"/>
            <w:vAlign w:val="center"/>
          </w:tcPr>
          <w:p w:rsidR="008908CD" w:rsidRPr="00915842" w:rsidRDefault="008908CD" w:rsidP="006A68BF">
            <w:pPr>
              <w:jc w:val="center"/>
              <w:rPr>
                <w:sz w:val="18"/>
                <w:szCs w:val="18"/>
              </w:rPr>
            </w:pPr>
            <w:r w:rsidRPr="00915842">
              <w:rPr>
                <w:rFonts w:cs="B Lotus"/>
                <w:sz w:val="18"/>
                <w:szCs w:val="18"/>
                <w:lang w:val="az-Latn-AZ"/>
              </w:rPr>
              <w:t>P</w:t>
            </w:r>
            <w:r w:rsidRPr="00915842">
              <w:rPr>
                <w:rFonts w:cs="B Lotus"/>
                <w:sz w:val="18"/>
                <w:szCs w:val="18"/>
              </w:rPr>
              <w:t>-Value</w:t>
            </w:r>
          </w:p>
        </w:tc>
      </w:tr>
      <w:tr w:rsidR="008908CD" w:rsidRPr="00915842" w:rsidTr="006A68BF">
        <w:trPr>
          <w:trHeight w:val="401"/>
          <w:jc w:val="center"/>
        </w:trPr>
        <w:tc>
          <w:tcPr>
            <w:tcW w:w="1920" w:type="dxa"/>
            <w:vAlign w:val="center"/>
          </w:tcPr>
          <w:p w:rsidR="008908CD" w:rsidRPr="00915842" w:rsidRDefault="008908CD" w:rsidP="006A68BF">
            <w:pPr>
              <w:jc w:val="center"/>
              <w:rPr>
                <w:rFonts w:cs="B Lotus"/>
                <w:b/>
                <w:bCs/>
                <w:sz w:val="18"/>
                <w:szCs w:val="18"/>
              </w:rPr>
            </w:pPr>
            <w:r w:rsidRPr="00915842">
              <w:rPr>
                <w:rFonts w:cs="B Nazanin"/>
                <w:b/>
                <w:bCs/>
                <w:sz w:val="18"/>
                <w:szCs w:val="18"/>
              </w:rPr>
              <w:t>Class</w:t>
            </w:r>
            <w:r>
              <w:rPr>
                <w:rFonts w:cs="B Nazanin"/>
                <w:b/>
                <w:bCs/>
                <w:sz w:val="18"/>
                <w:szCs w:val="18"/>
              </w:rPr>
              <w:t xml:space="preserve"> I</w:t>
            </w:r>
          </w:p>
        </w:tc>
        <w:tc>
          <w:tcPr>
            <w:tcW w:w="605" w:type="dxa"/>
            <w:vAlign w:val="center"/>
          </w:tcPr>
          <w:p w:rsidR="008908CD" w:rsidRPr="00915842" w:rsidRDefault="008908CD" w:rsidP="006A68BF">
            <w:pPr>
              <w:jc w:val="center"/>
              <w:rPr>
                <w:rFonts w:cs="B Lotus"/>
                <w:sz w:val="18"/>
                <w:szCs w:val="18"/>
              </w:rPr>
            </w:pPr>
            <w:r w:rsidRPr="00915842">
              <w:rPr>
                <w:rFonts w:cs="B Lotus"/>
                <w:sz w:val="18"/>
                <w:szCs w:val="18"/>
              </w:rPr>
              <w:t>28</w:t>
            </w:r>
          </w:p>
        </w:tc>
        <w:tc>
          <w:tcPr>
            <w:tcW w:w="1683" w:type="dxa"/>
            <w:vAlign w:val="center"/>
          </w:tcPr>
          <w:p w:rsidR="008908CD" w:rsidRPr="00915842" w:rsidRDefault="008908CD" w:rsidP="006A68BF">
            <w:pPr>
              <w:spacing w:line="192" w:lineRule="auto"/>
              <w:jc w:val="center"/>
              <w:rPr>
                <w:rFonts w:cs="B Lotus"/>
                <w:sz w:val="18"/>
                <w:szCs w:val="18"/>
                <w:rtl/>
              </w:rPr>
            </w:pPr>
            <w:r w:rsidRPr="00915842">
              <w:rPr>
                <w:rFonts w:cs="B Lotus" w:hint="eastAsia"/>
                <w:sz w:val="18"/>
                <w:szCs w:val="18"/>
              </w:rPr>
              <w:t>±</w:t>
            </w:r>
            <w:r w:rsidRPr="00915842">
              <w:rPr>
                <w:rFonts w:cs="B Lotus"/>
                <w:sz w:val="18"/>
                <w:szCs w:val="18"/>
              </w:rPr>
              <w:t xml:space="preserve"> 1.082.81</w:t>
            </w:r>
          </w:p>
        </w:tc>
        <w:tc>
          <w:tcPr>
            <w:tcW w:w="673" w:type="dxa"/>
            <w:vMerge w:val="restart"/>
            <w:vAlign w:val="center"/>
          </w:tcPr>
          <w:p w:rsidR="008908CD" w:rsidRPr="00915842" w:rsidRDefault="008908CD" w:rsidP="006A68BF">
            <w:pPr>
              <w:jc w:val="center"/>
              <w:rPr>
                <w:rFonts w:cs="B Lotus"/>
                <w:sz w:val="18"/>
                <w:szCs w:val="18"/>
                <w:rtl/>
              </w:rPr>
            </w:pPr>
            <w:r w:rsidRPr="00915842">
              <w:rPr>
                <w:rFonts w:cs="B Lotus"/>
                <w:sz w:val="18"/>
                <w:szCs w:val="18"/>
              </w:rPr>
              <w:t>2.13</w:t>
            </w:r>
          </w:p>
        </w:tc>
        <w:tc>
          <w:tcPr>
            <w:tcW w:w="717" w:type="dxa"/>
            <w:vMerge w:val="restart"/>
            <w:vAlign w:val="center"/>
          </w:tcPr>
          <w:p w:rsidR="008908CD" w:rsidRPr="00915842" w:rsidRDefault="008908CD" w:rsidP="006A68BF">
            <w:pPr>
              <w:jc w:val="center"/>
              <w:rPr>
                <w:rFonts w:cs="B Lotus"/>
                <w:sz w:val="18"/>
                <w:szCs w:val="18"/>
              </w:rPr>
            </w:pPr>
            <w:r w:rsidRPr="00915842">
              <w:rPr>
                <w:rFonts w:cs="B Lotus"/>
                <w:sz w:val="18"/>
                <w:szCs w:val="18"/>
              </w:rPr>
              <w:t>12.52</w:t>
            </w:r>
          </w:p>
        </w:tc>
        <w:tc>
          <w:tcPr>
            <w:tcW w:w="935" w:type="dxa"/>
            <w:vMerge w:val="restart"/>
            <w:vAlign w:val="center"/>
          </w:tcPr>
          <w:p w:rsidR="008908CD" w:rsidRPr="00915842" w:rsidRDefault="008908CD" w:rsidP="006A68BF">
            <w:pPr>
              <w:jc w:val="center"/>
              <w:rPr>
                <w:rFonts w:cs="B Lotus"/>
                <w:sz w:val="18"/>
                <w:szCs w:val="18"/>
              </w:rPr>
            </w:pPr>
            <w:r w:rsidRPr="00915842">
              <w:rPr>
                <w:rFonts w:cs="B Lotus"/>
                <w:sz w:val="18"/>
                <w:szCs w:val="18"/>
              </w:rPr>
              <w:t>0.001</w:t>
            </w:r>
          </w:p>
        </w:tc>
        <w:tc>
          <w:tcPr>
            <w:tcW w:w="748" w:type="dxa"/>
            <w:vMerge w:val="restart"/>
            <w:vAlign w:val="center"/>
          </w:tcPr>
          <w:p w:rsidR="008908CD" w:rsidRPr="00915842" w:rsidRDefault="008908CD" w:rsidP="006A68BF">
            <w:pPr>
              <w:jc w:val="center"/>
              <w:rPr>
                <w:rFonts w:cs="B Lotus"/>
                <w:sz w:val="18"/>
                <w:szCs w:val="18"/>
              </w:rPr>
            </w:pPr>
            <w:r w:rsidRPr="00915842">
              <w:rPr>
                <w:rFonts w:cs="B Lotus"/>
                <w:sz w:val="18"/>
                <w:szCs w:val="18"/>
              </w:rPr>
              <w:t>6.11</w:t>
            </w:r>
          </w:p>
        </w:tc>
        <w:tc>
          <w:tcPr>
            <w:tcW w:w="697" w:type="dxa"/>
            <w:vMerge w:val="restart"/>
            <w:vAlign w:val="center"/>
          </w:tcPr>
          <w:p w:rsidR="008908CD" w:rsidRPr="00915842" w:rsidRDefault="008908CD" w:rsidP="006A68BF">
            <w:pPr>
              <w:jc w:val="center"/>
              <w:rPr>
                <w:rFonts w:cs="B Lotus"/>
                <w:sz w:val="18"/>
                <w:szCs w:val="18"/>
              </w:rPr>
            </w:pPr>
            <w:r w:rsidRPr="00915842">
              <w:rPr>
                <w:rFonts w:cs="B Lotus"/>
                <w:sz w:val="18"/>
                <w:szCs w:val="18"/>
              </w:rPr>
              <w:t>54</w:t>
            </w:r>
          </w:p>
        </w:tc>
        <w:tc>
          <w:tcPr>
            <w:tcW w:w="887" w:type="dxa"/>
            <w:vMerge w:val="restart"/>
            <w:vAlign w:val="center"/>
          </w:tcPr>
          <w:p w:rsidR="008908CD" w:rsidRPr="00915842" w:rsidRDefault="008908CD" w:rsidP="006A68BF">
            <w:pPr>
              <w:jc w:val="center"/>
              <w:rPr>
                <w:rFonts w:cs="B Lotus"/>
                <w:sz w:val="18"/>
                <w:szCs w:val="18"/>
              </w:rPr>
            </w:pPr>
            <w:r w:rsidRPr="00915842">
              <w:rPr>
                <w:rFonts w:cs="B Lotus"/>
                <w:sz w:val="18"/>
                <w:szCs w:val="18"/>
              </w:rPr>
              <w:t>0.000</w:t>
            </w:r>
          </w:p>
        </w:tc>
      </w:tr>
      <w:tr w:rsidR="008908CD" w:rsidRPr="00915842" w:rsidTr="006A68BF">
        <w:trPr>
          <w:trHeight w:val="187"/>
          <w:jc w:val="center"/>
        </w:trPr>
        <w:tc>
          <w:tcPr>
            <w:tcW w:w="1920" w:type="dxa"/>
            <w:vAlign w:val="center"/>
          </w:tcPr>
          <w:p w:rsidR="008908CD" w:rsidRPr="00915842" w:rsidRDefault="008908CD" w:rsidP="006A68BF">
            <w:pPr>
              <w:jc w:val="center"/>
              <w:rPr>
                <w:rFonts w:cs="B Lotus"/>
                <w:b/>
                <w:bCs/>
                <w:sz w:val="18"/>
                <w:szCs w:val="18"/>
                <w:rtl/>
              </w:rPr>
            </w:pPr>
            <w:r w:rsidRPr="00915842">
              <w:rPr>
                <w:rFonts w:cs="B Nazanin"/>
                <w:b/>
                <w:bCs/>
                <w:sz w:val="18"/>
                <w:szCs w:val="18"/>
              </w:rPr>
              <w:t>Class II</w:t>
            </w:r>
          </w:p>
        </w:tc>
        <w:tc>
          <w:tcPr>
            <w:tcW w:w="605" w:type="dxa"/>
            <w:vAlign w:val="center"/>
          </w:tcPr>
          <w:p w:rsidR="008908CD" w:rsidRPr="00915842" w:rsidRDefault="008908CD" w:rsidP="006A68BF">
            <w:pPr>
              <w:jc w:val="center"/>
              <w:rPr>
                <w:rFonts w:cs="B Lotus"/>
                <w:sz w:val="18"/>
                <w:szCs w:val="18"/>
                <w:rtl/>
              </w:rPr>
            </w:pPr>
            <w:r w:rsidRPr="00915842">
              <w:rPr>
                <w:rFonts w:cs="B Lotus"/>
                <w:sz w:val="18"/>
                <w:szCs w:val="18"/>
              </w:rPr>
              <w:t>28</w:t>
            </w:r>
          </w:p>
        </w:tc>
        <w:tc>
          <w:tcPr>
            <w:tcW w:w="1683" w:type="dxa"/>
          </w:tcPr>
          <w:p w:rsidR="008908CD" w:rsidRPr="00915842" w:rsidRDefault="008908CD" w:rsidP="006A68BF">
            <w:pPr>
              <w:jc w:val="center"/>
              <w:rPr>
                <w:sz w:val="18"/>
                <w:szCs w:val="18"/>
                <w:rtl/>
              </w:rPr>
            </w:pPr>
            <w:r w:rsidRPr="00915842">
              <w:rPr>
                <w:rFonts w:cs="B Lotus" w:hint="eastAsia"/>
                <w:sz w:val="18"/>
                <w:szCs w:val="18"/>
              </w:rPr>
              <w:t>±</w:t>
            </w:r>
            <w:r w:rsidRPr="00915842">
              <w:rPr>
                <w:rFonts w:cs="B Lotus"/>
                <w:sz w:val="18"/>
                <w:szCs w:val="18"/>
              </w:rPr>
              <w:t xml:space="preserve"> 0.481.44</w:t>
            </w:r>
          </w:p>
        </w:tc>
        <w:tc>
          <w:tcPr>
            <w:tcW w:w="673" w:type="dxa"/>
            <w:vMerge/>
          </w:tcPr>
          <w:p w:rsidR="008908CD" w:rsidRPr="00915842" w:rsidRDefault="008908CD" w:rsidP="006A68BF">
            <w:pPr>
              <w:jc w:val="center"/>
              <w:rPr>
                <w:rFonts w:cs="B Lotus"/>
                <w:sz w:val="18"/>
                <w:szCs w:val="18"/>
              </w:rPr>
            </w:pPr>
          </w:p>
        </w:tc>
        <w:tc>
          <w:tcPr>
            <w:tcW w:w="717" w:type="dxa"/>
            <w:vMerge/>
          </w:tcPr>
          <w:p w:rsidR="008908CD" w:rsidRPr="00915842" w:rsidRDefault="008908CD" w:rsidP="006A68BF">
            <w:pPr>
              <w:jc w:val="center"/>
              <w:rPr>
                <w:rFonts w:cs="B Lotus"/>
                <w:sz w:val="18"/>
                <w:szCs w:val="18"/>
              </w:rPr>
            </w:pPr>
          </w:p>
        </w:tc>
        <w:tc>
          <w:tcPr>
            <w:tcW w:w="935" w:type="dxa"/>
            <w:vMerge/>
          </w:tcPr>
          <w:p w:rsidR="008908CD" w:rsidRPr="00915842" w:rsidRDefault="008908CD" w:rsidP="006A68BF">
            <w:pPr>
              <w:jc w:val="center"/>
              <w:rPr>
                <w:rFonts w:cs="B Lotus"/>
                <w:sz w:val="18"/>
                <w:szCs w:val="18"/>
              </w:rPr>
            </w:pPr>
          </w:p>
        </w:tc>
        <w:tc>
          <w:tcPr>
            <w:tcW w:w="748" w:type="dxa"/>
            <w:vMerge/>
            <w:vAlign w:val="center"/>
          </w:tcPr>
          <w:p w:rsidR="008908CD" w:rsidRPr="00915842" w:rsidRDefault="008908CD" w:rsidP="006A68BF">
            <w:pPr>
              <w:jc w:val="center"/>
              <w:rPr>
                <w:rFonts w:cs="B Lotus"/>
                <w:sz w:val="18"/>
                <w:szCs w:val="18"/>
              </w:rPr>
            </w:pPr>
          </w:p>
        </w:tc>
        <w:tc>
          <w:tcPr>
            <w:tcW w:w="697" w:type="dxa"/>
            <w:vMerge/>
            <w:vAlign w:val="center"/>
          </w:tcPr>
          <w:p w:rsidR="008908CD" w:rsidRPr="00915842" w:rsidRDefault="008908CD" w:rsidP="006A68BF">
            <w:pPr>
              <w:jc w:val="center"/>
              <w:rPr>
                <w:rFonts w:cs="B Lotus"/>
                <w:sz w:val="18"/>
                <w:szCs w:val="18"/>
              </w:rPr>
            </w:pPr>
          </w:p>
        </w:tc>
        <w:tc>
          <w:tcPr>
            <w:tcW w:w="887" w:type="dxa"/>
            <w:vMerge/>
            <w:vAlign w:val="center"/>
          </w:tcPr>
          <w:p w:rsidR="008908CD" w:rsidRPr="00915842" w:rsidRDefault="008908CD" w:rsidP="006A68BF">
            <w:pPr>
              <w:jc w:val="center"/>
              <w:rPr>
                <w:rFonts w:cs="B Lotus"/>
                <w:sz w:val="18"/>
                <w:szCs w:val="18"/>
              </w:rPr>
            </w:pPr>
          </w:p>
        </w:tc>
      </w:tr>
    </w:tbl>
    <w:p w:rsidR="008908CD" w:rsidRDefault="008908CD" w:rsidP="008908CD">
      <w:pPr>
        <w:tabs>
          <w:tab w:val="left" w:pos="5840"/>
        </w:tabs>
        <w:rPr>
          <w:sz w:val="28"/>
          <w:szCs w:val="28"/>
        </w:rPr>
      </w:pPr>
    </w:p>
    <w:p w:rsidR="008908CD" w:rsidRPr="00C32BBE" w:rsidRDefault="008908CD" w:rsidP="00C32BBE">
      <w:pPr>
        <w:spacing w:line="360" w:lineRule="auto"/>
        <w:ind w:firstLine="720"/>
        <w:contextualSpacing/>
        <w:jc w:val="both"/>
        <w:rPr>
          <w:rFonts w:asciiTheme="majorBidi" w:hAnsiTheme="majorBidi" w:cstheme="majorBidi"/>
          <w:sz w:val="24"/>
          <w:szCs w:val="24"/>
        </w:rPr>
      </w:pPr>
    </w:p>
    <w:tbl>
      <w:tblPr>
        <w:tblW w:w="7151" w:type="dxa"/>
        <w:jc w:val="center"/>
        <w:tblInd w:w="-692" w:type="dxa"/>
        <w:tblBorders>
          <w:top w:val="single" w:sz="4" w:space="0" w:color="auto"/>
          <w:bottom w:val="single" w:sz="4" w:space="0" w:color="auto"/>
        </w:tblBorders>
        <w:tblLayout w:type="fixed"/>
        <w:tblLook w:val="0000" w:firstRow="0" w:lastRow="0" w:firstColumn="0" w:lastColumn="0" w:noHBand="0" w:noVBand="0"/>
      </w:tblPr>
      <w:tblGrid>
        <w:gridCol w:w="1276"/>
        <w:gridCol w:w="512"/>
        <w:gridCol w:w="858"/>
        <w:gridCol w:w="1025"/>
        <w:gridCol w:w="1229"/>
        <w:gridCol w:w="1092"/>
        <w:gridCol w:w="1159"/>
      </w:tblGrid>
      <w:tr w:rsidR="008908CD" w:rsidRPr="00F22DFD" w:rsidTr="006A68BF">
        <w:trPr>
          <w:trHeight w:val="732"/>
          <w:jc w:val="center"/>
        </w:trPr>
        <w:tc>
          <w:tcPr>
            <w:tcW w:w="7151" w:type="dxa"/>
            <w:gridSpan w:val="7"/>
            <w:tcBorders>
              <w:top w:val="nil"/>
              <w:bottom w:val="single" w:sz="4" w:space="0" w:color="auto"/>
            </w:tcBorders>
            <w:vAlign w:val="center"/>
          </w:tcPr>
          <w:p w:rsidR="008908CD" w:rsidRPr="00CB56AB" w:rsidRDefault="008908CD" w:rsidP="002B0D50">
            <w:pPr>
              <w:jc w:val="right"/>
              <w:rPr>
                <w:rFonts w:cs="B Lotus"/>
                <w:sz w:val="16"/>
                <w:szCs w:val="16"/>
                <w:rtl/>
                <w:lang w:bidi="fa-IR"/>
              </w:rPr>
            </w:pPr>
            <w:r w:rsidRPr="000C28EF">
              <w:rPr>
                <w:rFonts w:cs="B Lotus"/>
                <w:b/>
                <w:bCs/>
                <w:sz w:val="16"/>
                <w:szCs w:val="16"/>
              </w:rPr>
              <w:t xml:space="preserve">Table </w:t>
            </w:r>
            <w:r w:rsidR="002B0D50">
              <w:rPr>
                <w:rFonts w:cs="B Lotus"/>
                <w:b/>
                <w:bCs/>
                <w:sz w:val="16"/>
                <w:szCs w:val="16"/>
              </w:rPr>
              <w:t>2</w:t>
            </w:r>
            <w:r>
              <w:rPr>
                <w:rFonts w:cs="B Lotus"/>
                <w:b/>
                <w:bCs/>
                <w:sz w:val="16"/>
                <w:szCs w:val="16"/>
              </w:rPr>
              <w:t>.</w:t>
            </w:r>
            <w:r>
              <w:rPr>
                <w:rFonts w:cs="B Lotus"/>
                <w:sz w:val="16"/>
                <w:szCs w:val="16"/>
              </w:rPr>
              <w:t xml:space="preserve"> Mean change from post-treatment to post-retention in the total sample .</w:t>
            </w:r>
          </w:p>
        </w:tc>
      </w:tr>
      <w:tr w:rsidR="008908CD" w:rsidRPr="00F22DFD" w:rsidTr="006A68BF">
        <w:trPr>
          <w:trHeight w:val="732"/>
          <w:jc w:val="center"/>
        </w:trPr>
        <w:tc>
          <w:tcPr>
            <w:tcW w:w="1276" w:type="dxa"/>
            <w:tcBorders>
              <w:top w:val="single" w:sz="4" w:space="0" w:color="auto"/>
            </w:tcBorders>
            <w:vAlign w:val="center"/>
          </w:tcPr>
          <w:p w:rsidR="008908CD" w:rsidRPr="00F22DFD" w:rsidRDefault="008908CD" w:rsidP="006A68BF">
            <w:pPr>
              <w:jc w:val="center"/>
              <w:rPr>
                <w:b/>
                <w:bCs/>
                <w:sz w:val="16"/>
                <w:szCs w:val="16"/>
                <w:rtl/>
                <w:lang w:bidi="fa-IR"/>
              </w:rPr>
            </w:pPr>
            <w:r w:rsidRPr="00F22DFD">
              <w:rPr>
                <w:b/>
                <w:bCs/>
                <w:sz w:val="16"/>
                <w:szCs w:val="16"/>
              </w:rPr>
              <w:t>VARIABLE</w:t>
            </w:r>
          </w:p>
        </w:tc>
        <w:tc>
          <w:tcPr>
            <w:tcW w:w="512" w:type="dxa"/>
            <w:tcBorders>
              <w:top w:val="single" w:sz="4" w:space="0" w:color="auto"/>
            </w:tcBorders>
            <w:vAlign w:val="center"/>
          </w:tcPr>
          <w:p w:rsidR="008908CD" w:rsidRPr="00F22DFD" w:rsidRDefault="008908CD" w:rsidP="006A68BF">
            <w:pPr>
              <w:jc w:val="center"/>
              <w:rPr>
                <w:rFonts w:cs="B Lotus"/>
                <w:sz w:val="16"/>
                <w:szCs w:val="16"/>
              </w:rPr>
            </w:pPr>
            <w:r w:rsidRPr="00F22DFD">
              <w:rPr>
                <w:rFonts w:cs="B Lotus"/>
                <w:sz w:val="16"/>
                <w:szCs w:val="16"/>
              </w:rPr>
              <w:t>N</w:t>
            </w:r>
          </w:p>
        </w:tc>
        <w:tc>
          <w:tcPr>
            <w:tcW w:w="858" w:type="dxa"/>
            <w:tcBorders>
              <w:top w:val="single" w:sz="4" w:space="0" w:color="auto"/>
            </w:tcBorders>
            <w:vAlign w:val="center"/>
          </w:tcPr>
          <w:p w:rsidR="008908CD" w:rsidRPr="00F22DFD" w:rsidRDefault="008908CD" w:rsidP="006A68BF">
            <w:pPr>
              <w:jc w:val="center"/>
              <w:rPr>
                <w:rFonts w:cs="B Lotus"/>
                <w:sz w:val="16"/>
                <w:szCs w:val="16"/>
              </w:rPr>
            </w:pPr>
            <w:r w:rsidRPr="00F22DFD">
              <w:rPr>
                <w:rFonts w:cs="B Lotus"/>
                <w:sz w:val="16"/>
                <w:szCs w:val="16"/>
              </w:rPr>
              <w:t>Mean</w:t>
            </w:r>
          </w:p>
        </w:tc>
        <w:tc>
          <w:tcPr>
            <w:tcW w:w="1025" w:type="dxa"/>
            <w:tcBorders>
              <w:top w:val="single" w:sz="4" w:space="0" w:color="auto"/>
            </w:tcBorders>
            <w:vAlign w:val="center"/>
          </w:tcPr>
          <w:p w:rsidR="008908CD" w:rsidRPr="00F22DFD" w:rsidRDefault="008908CD" w:rsidP="006A68BF">
            <w:pPr>
              <w:jc w:val="center"/>
              <w:rPr>
                <w:rFonts w:cs="B Lotus"/>
                <w:sz w:val="16"/>
                <w:szCs w:val="16"/>
                <w:rtl/>
              </w:rPr>
            </w:pPr>
            <w:r w:rsidRPr="00F22DFD">
              <w:rPr>
                <w:rFonts w:cs="B Lotus"/>
                <w:sz w:val="16"/>
                <w:szCs w:val="16"/>
              </w:rPr>
              <w:t>Std.Error of Mean</w:t>
            </w:r>
          </w:p>
        </w:tc>
        <w:tc>
          <w:tcPr>
            <w:tcW w:w="1229" w:type="dxa"/>
            <w:tcBorders>
              <w:top w:val="single" w:sz="4" w:space="0" w:color="auto"/>
            </w:tcBorders>
            <w:vAlign w:val="center"/>
          </w:tcPr>
          <w:p w:rsidR="008908CD" w:rsidRPr="00F22DFD" w:rsidRDefault="008908CD" w:rsidP="006A68BF">
            <w:pPr>
              <w:jc w:val="center"/>
              <w:rPr>
                <w:rFonts w:cs="B Lotus"/>
                <w:sz w:val="16"/>
                <w:szCs w:val="16"/>
              </w:rPr>
            </w:pPr>
            <w:r w:rsidRPr="00F22DFD">
              <w:rPr>
                <w:rFonts w:cs="B Lotus"/>
                <w:sz w:val="16"/>
                <w:szCs w:val="16"/>
              </w:rPr>
              <w:t>Std Deviation</w:t>
            </w:r>
          </w:p>
          <w:p w:rsidR="008908CD" w:rsidRPr="00F22DFD" w:rsidRDefault="008908CD" w:rsidP="006A68BF">
            <w:pPr>
              <w:jc w:val="center"/>
              <w:rPr>
                <w:rFonts w:cs="B Lotus"/>
                <w:sz w:val="16"/>
                <w:szCs w:val="16"/>
                <w:lang w:bidi="fa-IR"/>
              </w:rPr>
            </w:pPr>
          </w:p>
        </w:tc>
        <w:tc>
          <w:tcPr>
            <w:tcW w:w="1092" w:type="dxa"/>
            <w:tcBorders>
              <w:top w:val="single" w:sz="4" w:space="0" w:color="auto"/>
            </w:tcBorders>
            <w:vAlign w:val="center"/>
          </w:tcPr>
          <w:p w:rsidR="008908CD" w:rsidRPr="00F22DFD" w:rsidRDefault="008908CD" w:rsidP="006A68BF">
            <w:pPr>
              <w:jc w:val="center"/>
              <w:rPr>
                <w:rFonts w:cs="B Lotus"/>
                <w:sz w:val="16"/>
                <w:szCs w:val="16"/>
                <w:rtl/>
              </w:rPr>
            </w:pPr>
            <w:r w:rsidRPr="00F22DFD">
              <w:rPr>
                <w:rFonts w:cs="B Lotus"/>
                <w:sz w:val="16"/>
                <w:szCs w:val="16"/>
              </w:rPr>
              <w:t>Minimum</w:t>
            </w:r>
          </w:p>
        </w:tc>
        <w:tc>
          <w:tcPr>
            <w:tcW w:w="1159" w:type="dxa"/>
            <w:tcBorders>
              <w:top w:val="single" w:sz="4" w:space="0" w:color="auto"/>
            </w:tcBorders>
            <w:vAlign w:val="center"/>
          </w:tcPr>
          <w:p w:rsidR="008908CD" w:rsidRPr="00F22DFD" w:rsidRDefault="008908CD" w:rsidP="006A68BF">
            <w:pPr>
              <w:jc w:val="center"/>
              <w:rPr>
                <w:rFonts w:cs="B Lotus"/>
                <w:sz w:val="16"/>
                <w:szCs w:val="16"/>
              </w:rPr>
            </w:pPr>
            <w:r w:rsidRPr="00F22DFD">
              <w:rPr>
                <w:rFonts w:cs="B Lotus"/>
                <w:sz w:val="16"/>
                <w:szCs w:val="16"/>
              </w:rPr>
              <w:t>Maximum</w:t>
            </w:r>
          </w:p>
        </w:tc>
      </w:tr>
      <w:tr w:rsidR="008908CD" w:rsidRPr="00F22DFD" w:rsidTr="006A68BF">
        <w:trPr>
          <w:trHeight w:val="653"/>
          <w:jc w:val="center"/>
        </w:trPr>
        <w:tc>
          <w:tcPr>
            <w:tcW w:w="1276" w:type="dxa"/>
            <w:vAlign w:val="center"/>
          </w:tcPr>
          <w:p w:rsidR="008908CD" w:rsidRPr="00F22DFD" w:rsidRDefault="008908CD" w:rsidP="006A68BF">
            <w:pPr>
              <w:jc w:val="center"/>
              <w:rPr>
                <w:rFonts w:cs="B Lotus"/>
                <w:b/>
                <w:bCs/>
                <w:sz w:val="16"/>
                <w:szCs w:val="16"/>
                <w:rtl/>
                <w:lang w:bidi="fa-IR"/>
              </w:rPr>
            </w:pPr>
            <w:r>
              <w:rPr>
                <w:rFonts w:cs="B Lotus"/>
                <w:b/>
                <w:bCs/>
                <w:sz w:val="16"/>
                <w:szCs w:val="16"/>
              </w:rPr>
              <w:lastRenderedPageBreak/>
              <w:t>Intercanine width chande</w:t>
            </w:r>
          </w:p>
        </w:tc>
        <w:tc>
          <w:tcPr>
            <w:tcW w:w="512" w:type="dxa"/>
            <w:vAlign w:val="center"/>
          </w:tcPr>
          <w:p w:rsidR="008908CD" w:rsidRPr="00F22DFD" w:rsidRDefault="008908CD" w:rsidP="006A68BF">
            <w:pPr>
              <w:jc w:val="center"/>
              <w:rPr>
                <w:rFonts w:cs="B Lotus"/>
                <w:sz w:val="16"/>
                <w:szCs w:val="16"/>
                <w:rtl/>
              </w:rPr>
            </w:pPr>
            <w:r w:rsidRPr="00F22DFD">
              <w:rPr>
                <w:rFonts w:cs="B Lotus"/>
                <w:sz w:val="16"/>
                <w:szCs w:val="16"/>
              </w:rPr>
              <w:t>56</w:t>
            </w:r>
          </w:p>
        </w:tc>
        <w:tc>
          <w:tcPr>
            <w:tcW w:w="858" w:type="dxa"/>
            <w:vAlign w:val="center"/>
          </w:tcPr>
          <w:p w:rsidR="008908CD" w:rsidRPr="00F22DFD" w:rsidRDefault="008908CD" w:rsidP="006A68BF">
            <w:pPr>
              <w:jc w:val="center"/>
              <w:rPr>
                <w:rFonts w:cs="B Lotus"/>
                <w:sz w:val="16"/>
                <w:szCs w:val="16"/>
              </w:rPr>
            </w:pPr>
            <w:r w:rsidRPr="00F22DFD">
              <w:rPr>
                <w:rFonts w:cs="B Lotus"/>
                <w:sz w:val="16"/>
                <w:szCs w:val="16"/>
              </w:rPr>
              <w:t>2.18</w:t>
            </w:r>
          </w:p>
        </w:tc>
        <w:tc>
          <w:tcPr>
            <w:tcW w:w="1025" w:type="dxa"/>
            <w:vAlign w:val="center"/>
          </w:tcPr>
          <w:p w:rsidR="008908CD" w:rsidRPr="00F22DFD" w:rsidRDefault="008908CD" w:rsidP="006A68BF">
            <w:pPr>
              <w:jc w:val="center"/>
              <w:rPr>
                <w:rFonts w:cs="B Lotus"/>
                <w:sz w:val="16"/>
                <w:szCs w:val="16"/>
                <w:rtl/>
              </w:rPr>
            </w:pPr>
            <w:r w:rsidRPr="00F22DFD">
              <w:rPr>
                <w:rFonts w:cs="B Lotus"/>
                <w:sz w:val="16"/>
                <w:szCs w:val="16"/>
              </w:rPr>
              <w:t>0.11</w:t>
            </w:r>
          </w:p>
        </w:tc>
        <w:tc>
          <w:tcPr>
            <w:tcW w:w="1229" w:type="dxa"/>
            <w:vAlign w:val="center"/>
          </w:tcPr>
          <w:p w:rsidR="008908CD" w:rsidRPr="00F22DFD" w:rsidRDefault="008908CD" w:rsidP="006A68BF">
            <w:pPr>
              <w:jc w:val="center"/>
              <w:rPr>
                <w:rFonts w:cs="B Lotus"/>
                <w:sz w:val="16"/>
                <w:szCs w:val="16"/>
              </w:rPr>
            </w:pPr>
            <w:r w:rsidRPr="00F22DFD">
              <w:rPr>
                <w:rFonts w:cs="B Lotus"/>
                <w:sz w:val="16"/>
                <w:szCs w:val="16"/>
              </w:rPr>
              <w:t>0.85</w:t>
            </w:r>
          </w:p>
        </w:tc>
        <w:tc>
          <w:tcPr>
            <w:tcW w:w="1092" w:type="dxa"/>
            <w:vAlign w:val="center"/>
          </w:tcPr>
          <w:p w:rsidR="008908CD" w:rsidRPr="00F22DFD" w:rsidRDefault="008908CD" w:rsidP="006A68BF">
            <w:pPr>
              <w:jc w:val="center"/>
              <w:rPr>
                <w:rFonts w:cs="B Lotus"/>
                <w:sz w:val="16"/>
                <w:szCs w:val="16"/>
              </w:rPr>
            </w:pPr>
            <w:r w:rsidRPr="00F22DFD">
              <w:rPr>
                <w:rFonts w:cs="B Lotus"/>
                <w:sz w:val="16"/>
                <w:szCs w:val="16"/>
              </w:rPr>
              <w:t>0.50</w:t>
            </w:r>
          </w:p>
        </w:tc>
        <w:tc>
          <w:tcPr>
            <w:tcW w:w="1159" w:type="dxa"/>
            <w:vAlign w:val="center"/>
          </w:tcPr>
          <w:p w:rsidR="008908CD" w:rsidRPr="00F22DFD" w:rsidRDefault="008908CD" w:rsidP="006A68BF">
            <w:pPr>
              <w:jc w:val="center"/>
              <w:rPr>
                <w:rFonts w:cs="B Lotus"/>
                <w:sz w:val="16"/>
                <w:szCs w:val="16"/>
              </w:rPr>
            </w:pPr>
            <w:r w:rsidRPr="00F22DFD">
              <w:rPr>
                <w:rFonts w:cs="B Lotus"/>
                <w:sz w:val="16"/>
                <w:szCs w:val="16"/>
              </w:rPr>
              <w:t>4.66</w:t>
            </w:r>
          </w:p>
        </w:tc>
      </w:tr>
      <w:tr w:rsidR="008908CD" w:rsidRPr="00F22DFD" w:rsidTr="006A68BF">
        <w:trPr>
          <w:trHeight w:val="653"/>
          <w:jc w:val="center"/>
        </w:trPr>
        <w:tc>
          <w:tcPr>
            <w:tcW w:w="1276" w:type="dxa"/>
            <w:vAlign w:val="center"/>
          </w:tcPr>
          <w:p w:rsidR="008908CD" w:rsidRPr="00F22DFD" w:rsidRDefault="008908CD" w:rsidP="006A68BF">
            <w:pPr>
              <w:jc w:val="center"/>
              <w:rPr>
                <w:rFonts w:cs="B Lotus"/>
                <w:b/>
                <w:bCs/>
                <w:sz w:val="16"/>
                <w:szCs w:val="16"/>
                <w:rtl/>
                <w:lang w:bidi="fa-IR"/>
              </w:rPr>
            </w:pPr>
            <w:r>
              <w:rPr>
                <w:rFonts w:cs="B Lotus"/>
                <w:b/>
                <w:bCs/>
                <w:sz w:val="16"/>
                <w:szCs w:val="16"/>
              </w:rPr>
              <w:t>Intermolar width chande</w:t>
            </w:r>
          </w:p>
        </w:tc>
        <w:tc>
          <w:tcPr>
            <w:tcW w:w="512" w:type="dxa"/>
            <w:vAlign w:val="center"/>
          </w:tcPr>
          <w:p w:rsidR="008908CD" w:rsidRPr="00F22DFD" w:rsidRDefault="008908CD" w:rsidP="006A68BF">
            <w:pPr>
              <w:jc w:val="center"/>
              <w:rPr>
                <w:rFonts w:cs="B Lotus"/>
                <w:sz w:val="16"/>
                <w:szCs w:val="16"/>
                <w:rtl/>
              </w:rPr>
            </w:pPr>
            <w:r w:rsidRPr="00F22DFD">
              <w:rPr>
                <w:rFonts w:cs="B Lotus"/>
                <w:sz w:val="16"/>
                <w:szCs w:val="16"/>
              </w:rPr>
              <w:t>56</w:t>
            </w:r>
          </w:p>
        </w:tc>
        <w:tc>
          <w:tcPr>
            <w:tcW w:w="858" w:type="dxa"/>
            <w:vAlign w:val="center"/>
          </w:tcPr>
          <w:p w:rsidR="008908CD" w:rsidRPr="00F22DFD" w:rsidRDefault="008908CD" w:rsidP="006A68BF">
            <w:pPr>
              <w:jc w:val="center"/>
              <w:rPr>
                <w:rFonts w:cs="B Lotus"/>
                <w:sz w:val="16"/>
                <w:szCs w:val="16"/>
              </w:rPr>
            </w:pPr>
            <w:r w:rsidRPr="00F22DFD">
              <w:rPr>
                <w:rFonts w:cs="B Lotus"/>
                <w:sz w:val="16"/>
                <w:szCs w:val="16"/>
              </w:rPr>
              <w:t>2.51</w:t>
            </w:r>
          </w:p>
        </w:tc>
        <w:tc>
          <w:tcPr>
            <w:tcW w:w="1025" w:type="dxa"/>
            <w:vAlign w:val="center"/>
          </w:tcPr>
          <w:p w:rsidR="008908CD" w:rsidRPr="00F22DFD" w:rsidRDefault="008908CD" w:rsidP="006A68BF">
            <w:pPr>
              <w:jc w:val="center"/>
              <w:rPr>
                <w:rFonts w:cs="B Lotus"/>
                <w:sz w:val="16"/>
                <w:szCs w:val="16"/>
                <w:rtl/>
              </w:rPr>
            </w:pPr>
            <w:r w:rsidRPr="00F22DFD">
              <w:rPr>
                <w:rFonts w:cs="B Lotus"/>
                <w:sz w:val="16"/>
                <w:szCs w:val="16"/>
              </w:rPr>
              <w:t>0.37</w:t>
            </w:r>
          </w:p>
        </w:tc>
        <w:tc>
          <w:tcPr>
            <w:tcW w:w="1229" w:type="dxa"/>
            <w:vAlign w:val="center"/>
          </w:tcPr>
          <w:p w:rsidR="008908CD" w:rsidRPr="00F22DFD" w:rsidRDefault="008908CD" w:rsidP="006A68BF">
            <w:pPr>
              <w:jc w:val="center"/>
              <w:rPr>
                <w:rFonts w:cs="B Lotus"/>
                <w:sz w:val="16"/>
                <w:szCs w:val="16"/>
                <w:rtl/>
              </w:rPr>
            </w:pPr>
            <w:r w:rsidRPr="00F22DFD">
              <w:rPr>
                <w:rFonts w:cs="B Lotus"/>
                <w:sz w:val="16"/>
                <w:szCs w:val="16"/>
              </w:rPr>
              <w:t>2.82</w:t>
            </w:r>
          </w:p>
        </w:tc>
        <w:tc>
          <w:tcPr>
            <w:tcW w:w="1092" w:type="dxa"/>
            <w:vAlign w:val="center"/>
          </w:tcPr>
          <w:p w:rsidR="008908CD" w:rsidRPr="00F22DFD" w:rsidRDefault="008908CD" w:rsidP="006A68BF">
            <w:pPr>
              <w:jc w:val="center"/>
              <w:rPr>
                <w:rFonts w:cs="B Lotus"/>
                <w:sz w:val="16"/>
                <w:szCs w:val="16"/>
              </w:rPr>
            </w:pPr>
            <w:r w:rsidRPr="00F22DFD">
              <w:rPr>
                <w:rFonts w:cs="B Lotus"/>
                <w:sz w:val="16"/>
                <w:szCs w:val="16"/>
              </w:rPr>
              <w:t>0.29</w:t>
            </w:r>
          </w:p>
        </w:tc>
        <w:tc>
          <w:tcPr>
            <w:tcW w:w="1159" w:type="dxa"/>
            <w:vAlign w:val="center"/>
          </w:tcPr>
          <w:p w:rsidR="008908CD" w:rsidRPr="00F22DFD" w:rsidRDefault="008908CD" w:rsidP="006A68BF">
            <w:pPr>
              <w:jc w:val="center"/>
              <w:rPr>
                <w:rFonts w:cs="B Lotus"/>
                <w:sz w:val="16"/>
                <w:szCs w:val="16"/>
                <w:rtl/>
              </w:rPr>
            </w:pPr>
            <w:r w:rsidRPr="00F22DFD">
              <w:rPr>
                <w:rFonts w:cs="B Lotus"/>
                <w:sz w:val="16"/>
                <w:szCs w:val="16"/>
              </w:rPr>
              <w:t>21.92</w:t>
            </w:r>
          </w:p>
        </w:tc>
      </w:tr>
      <w:tr w:rsidR="008908CD" w:rsidRPr="00F22DFD" w:rsidTr="006A68BF">
        <w:trPr>
          <w:trHeight w:val="653"/>
          <w:jc w:val="center"/>
        </w:trPr>
        <w:tc>
          <w:tcPr>
            <w:tcW w:w="1276" w:type="dxa"/>
            <w:vAlign w:val="center"/>
          </w:tcPr>
          <w:p w:rsidR="008908CD" w:rsidRPr="00F22DFD" w:rsidRDefault="008908CD" w:rsidP="006A68BF">
            <w:pPr>
              <w:jc w:val="center"/>
              <w:rPr>
                <w:rFonts w:cs="B Lotus"/>
                <w:b/>
                <w:bCs/>
                <w:sz w:val="16"/>
                <w:szCs w:val="16"/>
                <w:rtl/>
                <w:lang w:bidi="fa-IR"/>
              </w:rPr>
            </w:pPr>
            <w:r w:rsidRPr="00F22DFD">
              <w:rPr>
                <w:rFonts w:cs="B Lotus"/>
                <w:b/>
                <w:bCs/>
                <w:sz w:val="16"/>
                <w:szCs w:val="16"/>
              </w:rPr>
              <w:t>I</w:t>
            </w:r>
            <w:r>
              <w:rPr>
                <w:rFonts w:cs="B Lotus"/>
                <w:b/>
                <w:bCs/>
                <w:sz w:val="16"/>
                <w:szCs w:val="16"/>
              </w:rPr>
              <w:t>rregularityindex change</w:t>
            </w:r>
          </w:p>
        </w:tc>
        <w:tc>
          <w:tcPr>
            <w:tcW w:w="512" w:type="dxa"/>
            <w:vAlign w:val="center"/>
          </w:tcPr>
          <w:p w:rsidR="008908CD" w:rsidRPr="00F22DFD" w:rsidRDefault="008908CD" w:rsidP="006A68BF">
            <w:pPr>
              <w:jc w:val="center"/>
              <w:rPr>
                <w:rFonts w:cs="B Lotus"/>
                <w:sz w:val="16"/>
                <w:szCs w:val="16"/>
                <w:rtl/>
              </w:rPr>
            </w:pPr>
            <w:r w:rsidRPr="00F22DFD">
              <w:rPr>
                <w:rFonts w:cs="B Lotus"/>
                <w:sz w:val="16"/>
                <w:szCs w:val="16"/>
              </w:rPr>
              <w:t>56</w:t>
            </w:r>
          </w:p>
        </w:tc>
        <w:tc>
          <w:tcPr>
            <w:tcW w:w="858" w:type="dxa"/>
            <w:vAlign w:val="center"/>
          </w:tcPr>
          <w:p w:rsidR="008908CD" w:rsidRPr="00F22DFD" w:rsidRDefault="008908CD" w:rsidP="006A68BF">
            <w:pPr>
              <w:jc w:val="center"/>
              <w:rPr>
                <w:rFonts w:cs="B Lotus"/>
                <w:sz w:val="16"/>
                <w:szCs w:val="16"/>
                <w:rtl/>
              </w:rPr>
            </w:pPr>
            <w:r w:rsidRPr="00F22DFD">
              <w:rPr>
                <w:rFonts w:cs="B Lotus"/>
                <w:sz w:val="16"/>
                <w:szCs w:val="16"/>
              </w:rPr>
              <w:t>2.04</w:t>
            </w:r>
          </w:p>
        </w:tc>
        <w:tc>
          <w:tcPr>
            <w:tcW w:w="1025" w:type="dxa"/>
            <w:vAlign w:val="center"/>
          </w:tcPr>
          <w:p w:rsidR="008908CD" w:rsidRPr="00F22DFD" w:rsidRDefault="008908CD" w:rsidP="006A68BF">
            <w:pPr>
              <w:jc w:val="center"/>
              <w:rPr>
                <w:rFonts w:cs="B Lotus"/>
                <w:sz w:val="16"/>
                <w:szCs w:val="16"/>
                <w:rtl/>
              </w:rPr>
            </w:pPr>
            <w:r w:rsidRPr="00F22DFD">
              <w:rPr>
                <w:rFonts w:cs="B Lotus"/>
                <w:sz w:val="16"/>
                <w:szCs w:val="16"/>
              </w:rPr>
              <w:t>0.144</w:t>
            </w:r>
          </w:p>
        </w:tc>
        <w:tc>
          <w:tcPr>
            <w:tcW w:w="1229" w:type="dxa"/>
            <w:vAlign w:val="center"/>
          </w:tcPr>
          <w:p w:rsidR="008908CD" w:rsidRPr="00F22DFD" w:rsidRDefault="008908CD" w:rsidP="006A68BF">
            <w:pPr>
              <w:jc w:val="center"/>
              <w:rPr>
                <w:rFonts w:cs="B Lotus"/>
                <w:sz w:val="16"/>
                <w:szCs w:val="16"/>
                <w:rtl/>
              </w:rPr>
            </w:pPr>
            <w:r w:rsidRPr="00F22DFD">
              <w:rPr>
                <w:rFonts w:cs="B Lotus"/>
                <w:sz w:val="16"/>
                <w:szCs w:val="16"/>
              </w:rPr>
              <w:t>1.08</w:t>
            </w:r>
          </w:p>
        </w:tc>
        <w:tc>
          <w:tcPr>
            <w:tcW w:w="1092" w:type="dxa"/>
            <w:vAlign w:val="center"/>
          </w:tcPr>
          <w:p w:rsidR="008908CD" w:rsidRPr="00F22DFD" w:rsidRDefault="008908CD" w:rsidP="006A68BF">
            <w:pPr>
              <w:jc w:val="center"/>
              <w:rPr>
                <w:rFonts w:cs="B Lotus"/>
                <w:sz w:val="16"/>
                <w:szCs w:val="16"/>
                <w:rtl/>
              </w:rPr>
            </w:pPr>
            <w:r w:rsidRPr="00F22DFD">
              <w:rPr>
                <w:rFonts w:cs="B Lotus"/>
                <w:sz w:val="16"/>
                <w:szCs w:val="16"/>
              </w:rPr>
              <w:t>5.37</w:t>
            </w:r>
          </w:p>
        </w:tc>
        <w:tc>
          <w:tcPr>
            <w:tcW w:w="1159" w:type="dxa"/>
            <w:vAlign w:val="center"/>
          </w:tcPr>
          <w:p w:rsidR="008908CD" w:rsidRPr="00F22DFD" w:rsidRDefault="008908CD" w:rsidP="006A68BF">
            <w:pPr>
              <w:jc w:val="center"/>
              <w:rPr>
                <w:rFonts w:cs="B Lotus"/>
                <w:sz w:val="16"/>
                <w:szCs w:val="16"/>
                <w:rtl/>
              </w:rPr>
            </w:pPr>
            <w:r w:rsidRPr="00F22DFD">
              <w:rPr>
                <w:rFonts w:cs="B Lotus"/>
                <w:sz w:val="16"/>
                <w:szCs w:val="16"/>
              </w:rPr>
              <w:t>0.44</w:t>
            </w:r>
          </w:p>
        </w:tc>
      </w:tr>
      <w:tr w:rsidR="008908CD" w:rsidRPr="00F22DFD" w:rsidTr="006A68BF">
        <w:trPr>
          <w:trHeight w:val="653"/>
          <w:jc w:val="center"/>
        </w:trPr>
        <w:tc>
          <w:tcPr>
            <w:tcW w:w="1276" w:type="dxa"/>
            <w:vAlign w:val="center"/>
          </w:tcPr>
          <w:p w:rsidR="008908CD" w:rsidRPr="00F22DFD" w:rsidRDefault="008908CD" w:rsidP="006A68BF">
            <w:pPr>
              <w:jc w:val="center"/>
              <w:rPr>
                <w:rFonts w:cs="B Lotus"/>
                <w:b/>
                <w:bCs/>
                <w:sz w:val="16"/>
                <w:szCs w:val="16"/>
                <w:rtl/>
                <w:lang w:bidi="fa-IR"/>
              </w:rPr>
            </w:pPr>
            <w:r>
              <w:rPr>
                <w:rFonts w:cs="B Lotus"/>
                <w:b/>
                <w:bCs/>
                <w:sz w:val="16"/>
                <w:szCs w:val="16"/>
              </w:rPr>
              <w:t>Arch length change</w:t>
            </w:r>
          </w:p>
        </w:tc>
        <w:tc>
          <w:tcPr>
            <w:tcW w:w="512" w:type="dxa"/>
            <w:vAlign w:val="center"/>
          </w:tcPr>
          <w:p w:rsidR="008908CD" w:rsidRPr="00F22DFD" w:rsidRDefault="008908CD" w:rsidP="006A68BF">
            <w:pPr>
              <w:jc w:val="center"/>
              <w:rPr>
                <w:rFonts w:cs="B Lotus"/>
                <w:sz w:val="16"/>
                <w:szCs w:val="16"/>
                <w:rtl/>
              </w:rPr>
            </w:pPr>
            <w:r w:rsidRPr="00F22DFD">
              <w:rPr>
                <w:rFonts w:cs="B Lotus"/>
                <w:sz w:val="16"/>
                <w:szCs w:val="16"/>
              </w:rPr>
              <w:t>56</w:t>
            </w:r>
          </w:p>
        </w:tc>
        <w:tc>
          <w:tcPr>
            <w:tcW w:w="858" w:type="dxa"/>
            <w:vAlign w:val="center"/>
          </w:tcPr>
          <w:p w:rsidR="008908CD" w:rsidRPr="00F22DFD" w:rsidRDefault="008908CD" w:rsidP="006A68BF">
            <w:pPr>
              <w:jc w:val="center"/>
              <w:rPr>
                <w:rFonts w:cs="B Lotus"/>
                <w:sz w:val="16"/>
                <w:szCs w:val="16"/>
                <w:rtl/>
              </w:rPr>
            </w:pPr>
            <w:r w:rsidRPr="00F22DFD">
              <w:rPr>
                <w:rFonts w:cs="B Lotus"/>
                <w:sz w:val="16"/>
                <w:szCs w:val="16"/>
              </w:rPr>
              <w:t>2.52</w:t>
            </w:r>
          </w:p>
        </w:tc>
        <w:tc>
          <w:tcPr>
            <w:tcW w:w="1025" w:type="dxa"/>
            <w:vAlign w:val="center"/>
          </w:tcPr>
          <w:p w:rsidR="008908CD" w:rsidRPr="00F22DFD" w:rsidRDefault="008908CD" w:rsidP="006A68BF">
            <w:pPr>
              <w:jc w:val="center"/>
              <w:rPr>
                <w:rFonts w:cs="B Lotus"/>
                <w:sz w:val="16"/>
                <w:szCs w:val="16"/>
                <w:rtl/>
              </w:rPr>
            </w:pPr>
            <w:r w:rsidRPr="00F22DFD">
              <w:rPr>
                <w:rFonts w:cs="B Lotus"/>
                <w:sz w:val="16"/>
                <w:szCs w:val="16"/>
              </w:rPr>
              <w:t>0.15</w:t>
            </w:r>
          </w:p>
        </w:tc>
        <w:tc>
          <w:tcPr>
            <w:tcW w:w="1229" w:type="dxa"/>
            <w:vAlign w:val="center"/>
          </w:tcPr>
          <w:p w:rsidR="008908CD" w:rsidRPr="00F22DFD" w:rsidRDefault="008908CD" w:rsidP="006A68BF">
            <w:pPr>
              <w:jc w:val="center"/>
              <w:rPr>
                <w:rFonts w:cs="B Lotus"/>
                <w:sz w:val="16"/>
                <w:szCs w:val="16"/>
                <w:rtl/>
              </w:rPr>
            </w:pPr>
            <w:r w:rsidRPr="00F22DFD">
              <w:rPr>
                <w:rFonts w:cs="B Lotus"/>
                <w:sz w:val="16"/>
                <w:szCs w:val="16"/>
              </w:rPr>
              <w:t>1.13</w:t>
            </w:r>
          </w:p>
        </w:tc>
        <w:tc>
          <w:tcPr>
            <w:tcW w:w="1092" w:type="dxa"/>
            <w:vAlign w:val="center"/>
          </w:tcPr>
          <w:p w:rsidR="008908CD" w:rsidRPr="00F22DFD" w:rsidRDefault="008908CD" w:rsidP="006A68BF">
            <w:pPr>
              <w:jc w:val="center"/>
              <w:rPr>
                <w:rFonts w:cs="B Lotus"/>
                <w:sz w:val="16"/>
                <w:szCs w:val="16"/>
                <w:rtl/>
              </w:rPr>
            </w:pPr>
            <w:r w:rsidRPr="00F22DFD">
              <w:rPr>
                <w:rFonts w:cs="B Lotus"/>
                <w:sz w:val="16"/>
                <w:szCs w:val="16"/>
              </w:rPr>
              <w:t>0.60</w:t>
            </w:r>
          </w:p>
        </w:tc>
        <w:tc>
          <w:tcPr>
            <w:tcW w:w="1159" w:type="dxa"/>
            <w:vAlign w:val="center"/>
          </w:tcPr>
          <w:p w:rsidR="008908CD" w:rsidRPr="00F22DFD" w:rsidRDefault="008908CD" w:rsidP="006A68BF">
            <w:pPr>
              <w:jc w:val="center"/>
              <w:rPr>
                <w:rFonts w:cs="B Lotus"/>
                <w:sz w:val="16"/>
                <w:szCs w:val="16"/>
                <w:rtl/>
              </w:rPr>
            </w:pPr>
            <w:r w:rsidRPr="00F22DFD">
              <w:rPr>
                <w:rFonts w:cs="B Lotus"/>
                <w:sz w:val="16"/>
                <w:szCs w:val="16"/>
              </w:rPr>
              <w:t>5.93</w:t>
            </w:r>
          </w:p>
        </w:tc>
      </w:tr>
    </w:tbl>
    <w:p w:rsidR="008908CD" w:rsidRDefault="008908CD" w:rsidP="008A1EFB">
      <w:pPr>
        <w:spacing w:line="360" w:lineRule="auto"/>
        <w:jc w:val="both"/>
        <w:rPr>
          <w:rFonts w:asciiTheme="majorBidi" w:hAnsiTheme="majorBidi" w:cstheme="majorBidi"/>
          <w:sz w:val="24"/>
          <w:szCs w:val="24"/>
        </w:rPr>
      </w:pPr>
    </w:p>
    <w:p w:rsidR="008908CD" w:rsidRDefault="008908CD" w:rsidP="008908CD">
      <w:pPr>
        <w:jc w:val="right"/>
        <w:rPr>
          <w:rFonts w:cs="B Lotus"/>
          <w:sz w:val="18"/>
          <w:szCs w:val="18"/>
          <w:rtl/>
          <w:lang w:bidi="fa-IR"/>
        </w:rPr>
      </w:pPr>
    </w:p>
    <w:p w:rsidR="008908CD" w:rsidRDefault="008908CD" w:rsidP="008908CD">
      <w:pPr>
        <w:jc w:val="right"/>
        <w:rPr>
          <w:rFonts w:cs="B Lotus"/>
          <w:sz w:val="18"/>
          <w:szCs w:val="18"/>
          <w:rtl/>
          <w:lang w:bidi="fa-IR"/>
        </w:rPr>
      </w:pPr>
    </w:p>
    <w:p w:rsidR="008908CD" w:rsidRPr="00BE3A95" w:rsidRDefault="002B0D50" w:rsidP="002B0D50">
      <w:pPr>
        <w:rPr>
          <w:rFonts w:cs="B Lotus"/>
          <w:sz w:val="18"/>
          <w:szCs w:val="18"/>
          <w:rtl/>
          <w:lang w:bidi="fa-IR"/>
        </w:rPr>
      </w:pPr>
      <w:r w:rsidRPr="0040612A">
        <w:rPr>
          <w:rFonts w:cs="B Lotus"/>
          <w:b/>
          <w:bCs/>
          <w:sz w:val="18"/>
          <w:szCs w:val="18"/>
        </w:rPr>
        <w:t>Table</w:t>
      </w:r>
      <w:r>
        <w:rPr>
          <w:rFonts w:cs="B Lotus"/>
          <w:b/>
          <w:bCs/>
          <w:sz w:val="18"/>
          <w:szCs w:val="18"/>
        </w:rPr>
        <w:t>3.</w:t>
      </w:r>
      <w:r w:rsidR="008908CD" w:rsidRPr="0040612A">
        <w:rPr>
          <w:rFonts w:cs="B Lotus"/>
          <w:sz w:val="18"/>
          <w:szCs w:val="18"/>
        </w:rPr>
        <w:t xml:space="preserve">Comparison of mean </w:t>
      </w:r>
      <w:r w:rsidR="008908CD">
        <w:rPr>
          <w:rFonts w:cs="B Lotus"/>
          <w:sz w:val="18"/>
          <w:szCs w:val="18"/>
        </w:rPr>
        <w:t xml:space="preserve">intercanine width change from posttreatment to postretention </w:t>
      </w:r>
      <w:r w:rsidR="008908CD" w:rsidRPr="0040612A">
        <w:rPr>
          <w:rFonts w:cs="B Lotus"/>
          <w:sz w:val="18"/>
          <w:szCs w:val="18"/>
        </w:rPr>
        <w:t>between groups.</w:t>
      </w:r>
    </w:p>
    <w:tbl>
      <w:tblPr>
        <w:tblW w:w="88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8"/>
        <w:gridCol w:w="604"/>
        <w:gridCol w:w="1681"/>
        <w:gridCol w:w="672"/>
        <w:gridCol w:w="672"/>
        <w:gridCol w:w="978"/>
        <w:gridCol w:w="603"/>
        <w:gridCol w:w="840"/>
        <w:gridCol w:w="886"/>
      </w:tblGrid>
      <w:tr w:rsidR="008908CD" w:rsidRPr="00815F45" w:rsidTr="006A68BF">
        <w:trPr>
          <w:trHeight w:val="614"/>
          <w:jc w:val="center"/>
        </w:trPr>
        <w:tc>
          <w:tcPr>
            <w:tcW w:w="1918" w:type="dxa"/>
            <w:shd w:val="thinReverseDiagStripe" w:color="C0C0C0" w:fill="999999"/>
            <w:vAlign w:val="center"/>
          </w:tcPr>
          <w:p w:rsidR="008908CD" w:rsidRPr="00815F45" w:rsidRDefault="008908CD" w:rsidP="006A68BF">
            <w:pPr>
              <w:jc w:val="center"/>
              <w:rPr>
                <w:rFonts w:cs="B Lotus"/>
                <w:b/>
                <w:bCs/>
                <w:sz w:val="18"/>
                <w:szCs w:val="18"/>
                <w:lang w:bidi="fa-IR"/>
              </w:rPr>
            </w:pPr>
            <w:r w:rsidRPr="00815F45">
              <w:rPr>
                <w:b/>
                <w:bCs/>
                <w:sz w:val="18"/>
                <w:szCs w:val="18"/>
              </w:rPr>
              <w:t>Group</w:t>
            </w:r>
            <w:r w:rsidR="002B0D50">
              <w:rPr>
                <w:rFonts w:cs="B Lotus"/>
                <w:b/>
                <w:bCs/>
                <w:sz w:val="18"/>
                <w:szCs w:val="18"/>
                <w:lang w:bidi="fa-IR"/>
              </w:rPr>
              <w:t>3</w:t>
            </w:r>
          </w:p>
        </w:tc>
        <w:tc>
          <w:tcPr>
            <w:tcW w:w="604" w:type="dxa"/>
            <w:vAlign w:val="center"/>
          </w:tcPr>
          <w:p w:rsidR="008908CD" w:rsidRPr="00815F45" w:rsidRDefault="008908CD" w:rsidP="006A68BF">
            <w:pPr>
              <w:jc w:val="center"/>
              <w:rPr>
                <w:rFonts w:cs="B Lotus"/>
                <w:sz w:val="18"/>
                <w:szCs w:val="18"/>
                <w:rtl/>
              </w:rPr>
            </w:pPr>
            <w:r w:rsidRPr="00815F45">
              <w:rPr>
                <w:rFonts w:cs="B Lotus"/>
                <w:sz w:val="18"/>
                <w:szCs w:val="18"/>
              </w:rPr>
              <w:t>N</w:t>
            </w:r>
          </w:p>
        </w:tc>
        <w:tc>
          <w:tcPr>
            <w:tcW w:w="1681" w:type="dxa"/>
            <w:vAlign w:val="center"/>
          </w:tcPr>
          <w:p w:rsidR="008908CD" w:rsidRPr="00815F45" w:rsidRDefault="008908CD" w:rsidP="006A68BF">
            <w:pPr>
              <w:jc w:val="center"/>
              <w:rPr>
                <w:rFonts w:cs="B Lotus"/>
                <w:sz w:val="18"/>
                <w:szCs w:val="18"/>
              </w:rPr>
            </w:pPr>
            <w:r w:rsidRPr="00815F45">
              <w:rPr>
                <w:rFonts w:cs="B Lotus"/>
                <w:sz w:val="18"/>
                <w:szCs w:val="18"/>
              </w:rPr>
              <w:t>Mean</w:t>
            </w:r>
            <w:r w:rsidRPr="00815F45">
              <w:rPr>
                <w:rFonts w:cs="B Lotus" w:hint="eastAsia"/>
                <w:sz w:val="18"/>
                <w:szCs w:val="18"/>
              </w:rPr>
              <w:t>±</w:t>
            </w:r>
            <w:r w:rsidRPr="00815F45">
              <w:rPr>
                <w:rFonts w:cs="B Lotus"/>
                <w:sz w:val="18"/>
                <w:szCs w:val="18"/>
              </w:rPr>
              <w:t>SD</w:t>
            </w:r>
          </w:p>
        </w:tc>
        <w:tc>
          <w:tcPr>
            <w:tcW w:w="672" w:type="dxa"/>
            <w:vAlign w:val="center"/>
          </w:tcPr>
          <w:p w:rsidR="008908CD" w:rsidRPr="00815F45" w:rsidRDefault="008908CD" w:rsidP="006A68BF">
            <w:pPr>
              <w:jc w:val="center"/>
              <w:rPr>
                <w:sz w:val="18"/>
                <w:szCs w:val="18"/>
                <w:rtl/>
              </w:rPr>
            </w:pPr>
            <w:r w:rsidRPr="00815F45">
              <w:rPr>
                <w:sz w:val="18"/>
                <w:szCs w:val="18"/>
              </w:rPr>
              <w:t>Total mean</w:t>
            </w:r>
          </w:p>
        </w:tc>
        <w:tc>
          <w:tcPr>
            <w:tcW w:w="672" w:type="dxa"/>
            <w:vAlign w:val="center"/>
          </w:tcPr>
          <w:p w:rsidR="008908CD" w:rsidRPr="00815F45" w:rsidRDefault="008908CD" w:rsidP="006A68BF">
            <w:pPr>
              <w:jc w:val="center"/>
              <w:rPr>
                <w:sz w:val="18"/>
                <w:szCs w:val="18"/>
                <w:rtl/>
                <w:lang w:bidi="fa-IR"/>
              </w:rPr>
            </w:pPr>
            <w:r w:rsidRPr="00815F45">
              <w:rPr>
                <w:sz w:val="18"/>
                <w:szCs w:val="18"/>
              </w:rPr>
              <w:t>F</w:t>
            </w:r>
          </w:p>
        </w:tc>
        <w:tc>
          <w:tcPr>
            <w:tcW w:w="978" w:type="dxa"/>
            <w:vAlign w:val="center"/>
          </w:tcPr>
          <w:p w:rsidR="008908CD" w:rsidRPr="00815F45" w:rsidRDefault="008908CD" w:rsidP="006A68BF">
            <w:pPr>
              <w:jc w:val="center"/>
              <w:rPr>
                <w:sz w:val="18"/>
                <w:szCs w:val="18"/>
                <w:rtl/>
              </w:rPr>
            </w:pPr>
            <w:r w:rsidRPr="00815F45">
              <w:rPr>
                <w:rFonts w:cs="B Lotus"/>
                <w:sz w:val="18"/>
                <w:szCs w:val="18"/>
                <w:lang w:val="az-Latn-AZ"/>
              </w:rPr>
              <w:t>P</w:t>
            </w:r>
            <w:r w:rsidRPr="00815F45">
              <w:rPr>
                <w:rFonts w:cs="B Lotus"/>
                <w:sz w:val="18"/>
                <w:szCs w:val="18"/>
              </w:rPr>
              <w:t>-Value</w:t>
            </w:r>
          </w:p>
        </w:tc>
        <w:tc>
          <w:tcPr>
            <w:tcW w:w="603" w:type="dxa"/>
            <w:vAlign w:val="center"/>
          </w:tcPr>
          <w:p w:rsidR="008908CD" w:rsidRPr="00815F45" w:rsidRDefault="008908CD" w:rsidP="006A68BF">
            <w:pPr>
              <w:jc w:val="center"/>
              <w:rPr>
                <w:sz w:val="18"/>
                <w:szCs w:val="18"/>
                <w:rtl/>
              </w:rPr>
            </w:pPr>
            <w:r w:rsidRPr="00815F45">
              <w:rPr>
                <w:sz w:val="18"/>
                <w:szCs w:val="18"/>
              </w:rPr>
              <w:t>t</w:t>
            </w:r>
          </w:p>
        </w:tc>
        <w:tc>
          <w:tcPr>
            <w:tcW w:w="840" w:type="dxa"/>
            <w:vAlign w:val="center"/>
          </w:tcPr>
          <w:p w:rsidR="008908CD" w:rsidRPr="00815F45" w:rsidRDefault="008908CD" w:rsidP="006A68BF">
            <w:pPr>
              <w:jc w:val="center"/>
              <w:rPr>
                <w:sz w:val="18"/>
                <w:szCs w:val="18"/>
              </w:rPr>
            </w:pPr>
            <w:r w:rsidRPr="00815F45">
              <w:rPr>
                <w:sz w:val="18"/>
                <w:szCs w:val="18"/>
              </w:rPr>
              <w:t>Df</w:t>
            </w:r>
          </w:p>
        </w:tc>
        <w:tc>
          <w:tcPr>
            <w:tcW w:w="886" w:type="dxa"/>
            <w:vAlign w:val="center"/>
          </w:tcPr>
          <w:p w:rsidR="008908CD" w:rsidRPr="00815F45" w:rsidRDefault="008908CD" w:rsidP="006A68BF">
            <w:pPr>
              <w:jc w:val="center"/>
              <w:rPr>
                <w:sz w:val="18"/>
                <w:szCs w:val="18"/>
              </w:rPr>
            </w:pPr>
            <w:r w:rsidRPr="00815F45">
              <w:rPr>
                <w:rFonts w:cs="B Lotus"/>
                <w:sz w:val="18"/>
                <w:szCs w:val="18"/>
                <w:lang w:val="az-Latn-AZ"/>
              </w:rPr>
              <w:t>P</w:t>
            </w:r>
            <w:r w:rsidRPr="00815F45">
              <w:rPr>
                <w:rFonts w:cs="B Lotus"/>
                <w:sz w:val="18"/>
                <w:szCs w:val="18"/>
              </w:rPr>
              <w:t>-Value</w:t>
            </w:r>
          </w:p>
        </w:tc>
      </w:tr>
      <w:tr w:rsidR="008908CD" w:rsidRPr="00815F45" w:rsidTr="006A68BF">
        <w:trPr>
          <w:trHeight w:val="381"/>
          <w:jc w:val="center"/>
        </w:trPr>
        <w:tc>
          <w:tcPr>
            <w:tcW w:w="1918" w:type="dxa"/>
            <w:vAlign w:val="center"/>
          </w:tcPr>
          <w:p w:rsidR="008908CD" w:rsidRPr="00815F45" w:rsidRDefault="008908CD" w:rsidP="006A68BF">
            <w:pPr>
              <w:jc w:val="center"/>
              <w:rPr>
                <w:rFonts w:cs="B Lotus"/>
                <w:b/>
                <w:bCs/>
                <w:sz w:val="18"/>
                <w:szCs w:val="18"/>
              </w:rPr>
            </w:pPr>
            <w:r w:rsidRPr="00815F45">
              <w:rPr>
                <w:rFonts w:cs="B Nazanin"/>
                <w:b/>
                <w:bCs/>
                <w:sz w:val="18"/>
                <w:szCs w:val="18"/>
              </w:rPr>
              <w:t>Class I</w:t>
            </w:r>
          </w:p>
        </w:tc>
        <w:tc>
          <w:tcPr>
            <w:tcW w:w="604" w:type="dxa"/>
            <w:vAlign w:val="center"/>
          </w:tcPr>
          <w:p w:rsidR="008908CD" w:rsidRPr="00815F45" w:rsidRDefault="008908CD" w:rsidP="006A68BF">
            <w:pPr>
              <w:jc w:val="center"/>
              <w:rPr>
                <w:rFonts w:cs="B Lotus"/>
                <w:sz w:val="18"/>
                <w:szCs w:val="18"/>
                <w:rtl/>
                <w:lang w:bidi="fa-IR"/>
              </w:rPr>
            </w:pPr>
            <w:r w:rsidRPr="00815F45">
              <w:rPr>
                <w:rFonts w:cs="B Lotus"/>
                <w:sz w:val="18"/>
                <w:szCs w:val="18"/>
              </w:rPr>
              <w:t>28</w:t>
            </w:r>
          </w:p>
        </w:tc>
        <w:tc>
          <w:tcPr>
            <w:tcW w:w="1681" w:type="dxa"/>
            <w:vAlign w:val="center"/>
          </w:tcPr>
          <w:p w:rsidR="008908CD" w:rsidRPr="00815F45" w:rsidRDefault="008908CD" w:rsidP="006A68BF">
            <w:pPr>
              <w:spacing w:line="192" w:lineRule="auto"/>
              <w:jc w:val="center"/>
              <w:rPr>
                <w:rFonts w:cs="B Lotus"/>
                <w:sz w:val="18"/>
                <w:szCs w:val="18"/>
              </w:rPr>
            </w:pPr>
            <w:r w:rsidRPr="00815F45">
              <w:rPr>
                <w:rFonts w:cs="B Lotus" w:hint="eastAsia"/>
                <w:sz w:val="18"/>
                <w:szCs w:val="18"/>
              </w:rPr>
              <w:t>±</w:t>
            </w:r>
            <w:r w:rsidRPr="00815F45">
              <w:rPr>
                <w:rFonts w:cs="B Lotus"/>
                <w:sz w:val="18"/>
                <w:szCs w:val="18"/>
              </w:rPr>
              <w:t xml:space="preserve"> 0.812.66</w:t>
            </w:r>
          </w:p>
        </w:tc>
        <w:tc>
          <w:tcPr>
            <w:tcW w:w="672" w:type="dxa"/>
            <w:vMerge w:val="restart"/>
            <w:vAlign w:val="center"/>
          </w:tcPr>
          <w:p w:rsidR="008908CD" w:rsidRPr="00815F45" w:rsidRDefault="008908CD" w:rsidP="006A68BF">
            <w:pPr>
              <w:jc w:val="center"/>
              <w:rPr>
                <w:rFonts w:cs="B Lotus"/>
                <w:sz w:val="18"/>
                <w:szCs w:val="18"/>
              </w:rPr>
            </w:pPr>
            <w:r w:rsidRPr="00815F45">
              <w:rPr>
                <w:rFonts w:cs="B Lotus"/>
                <w:sz w:val="18"/>
                <w:szCs w:val="18"/>
              </w:rPr>
              <w:t>2.18</w:t>
            </w:r>
          </w:p>
        </w:tc>
        <w:tc>
          <w:tcPr>
            <w:tcW w:w="672" w:type="dxa"/>
            <w:vMerge w:val="restart"/>
            <w:vAlign w:val="center"/>
          </w:tcPr>
          <w:p w:rsidR="008908CD" w:rsidRPr="00815F45" w:rsidRDefault="008908CD" w:rsidP="006A68BF">
            <w:pPr>
              <w:jc w:val="center"/>
              <w:rPr>
                <w:rFonts w:cs="B Lotus"/>
                <w:sz w:val="18"/>
                <w:szCs w:val="18"/>
              </w:rPr>
            </w:pPr>
            <w:r w:rsidRPr="00815F45">
              <w:rPr>
                <w:rFonts w:cs="B Lotus"/>
                <w:sz w:val="18"/>
                <w:szCs w:val="18"/>
              </w:rPr>
              <w:t>1.48</w:t>
            </w:r>
          </w:p>
        </w:tc>
        <w:tc>
          <w:tcPr>
            <w:tcW w:w="978" w:type="dxa"/>
            <w:vMerge w:val="restart"/>
            <w:vAlign w:val="center"/>
          </w:tcPr>
          <w:p w:rsidR="008908CD" w:rsidRPr="00815F45" w:rsidRDefault="008908CD" w:rsidP="006A68BF">
            <w:pPr>
              <w:jc w:val="center"/>
              <w:rPr>
                <w:rFonts w:cs="B Lotus"/>
                <w:sz w:val="18"/>
                <w:szCs w:val="18"/>
              </w:rPr>
            </w:pPr>
            <w:r w:rsidRPr="00815F45">
              <w:rPr>
                <w:rFonts w:cs="B Lotus"/>
                <w:sz w:val="18"/>
                <w:szCs w:val="18"/>
              </w:rPr>
              <w:t>0.22</w:t>
            </w:r>
          </w:p>
        </w:tc>
        <w:tc>
          <w:tcPr>
            <w:tcW w:w="603" w:type="dxa"/>
            <w:vMerge w:val="restart"/>
            <w:vAlign w:val="center"/>
          </w:tcPr>
          <w:p w:rsidR="008908CD" w:rsidRPr="00815F45" w:rsidRDefault="008908CD" w:rsidP="006A68BF">
            <w:pPr>
              <w:jc w:val="center"/>
              <w:rPr>
                <w:rFonts w:cs="B Lotus"/>
                <w:sz w:val="18"/>
                <w:szCs w:val="18"/>
              </w:rPr>
            </w:pPr>
            <w:r w:rsidRPr="00815F45">
              <w:rPr>
                <w:rFonts w:cs="B Lotus"/>
                <w:sz w:val="18"/>
                <w:szCs w:val="18"/>
              </w:rPr>
              <w:t>4.97</w:t>
            </w:r>
          </w:p>
        </w:tc>
        <w:tc>
          <w:tcPr>
            <w:tcW w:w="840" w:type="dxa"/>
            <w:vMerge w:val="restart"/>
            <w:vAlign w:val="center"/>
          </w:tcPr>
          <w:p w:rsidR="008908CD" w:rsidRPr="00815F45" w:rsidRDefault="008908CD" w:rsidP="006A68BF">
            <w:pPr>
              <w:jc w:val="center"/>
              <w:rPr>
                <w:rFonts w:cs="B Lotus"/>
                <w:sz w:val="18"/>
                <w:szCs w:val="18"/>
              </w:rPr>
            </w:pPr>
            <w:r w:rsidRPr="00815F45">
              <w:rPr>
                <w:rFonts w:cs="B Lotus"/>
                <w:sz w:val="18"/>
                <w:szCs w:val="18"/>
              </w:rPr>
              <w:t>54</w:t>
            </w:r>
          </w:p>
        </w:tc>
        <w:tc>
          <w:tcPr>
            <w:tcW w:w="886" w:type="dxa"/>
            <w:vMerge w:val="restart"/>
            <w:vAlign w:val="center"/>
          </w:tcPr>
          <w:p w:rsidR="008908CD" w:rsidRPr="00815F45" w:rsidRDefault="008908CD" w:rsidP="006A68BF">
            <w:pPr>
              <w:jc w:val="center"/>
              <w:rPr>
                <w:rFonts w:cs="B Lotus"/>
                <w:sz w:val="18"/>
                <w:szCs w:val="18"/>
              </w:rPr>
            </w:pPr>
            <w:r w:rsidRPr="00815F45">
              <w:rPr>
                <w:rFonts w:cs="B Lotus"/>
                <w:sz w:val="18"/>
                <w:szCs w:val="18"/>
              </w:rPr>
              <w:t>0.000</w:t>
            </w:r>
          </w:p>
        </w:tc>
      </w:tr>
      <w:tr w:rsidR="008908CD" w:rsidRPr="00815F45" w:rsidTr="006A68BF">
        <w:trPr>
          <w:trHeight w:val="183"/>
          <w:jc w:val="center"/>
        </w:trPr>
        <w:tc>
          <w:tcPr>
            <w:tcW w:w="1918" w:type="dxa"/>
            <w:vAlign w:val="center"/>
          </w:tcPr>
          <w:p w:rsidR="008908CD" w:rsidRPr="00815F45" w:rsidRDefault="008908CD" w:rsidP="006A68BF">
            <w:pPr>
              <w:jc w:val="center"/>
              <w:rPr>
                <w:rFonts w:cs="B Lotus"/>
                <w:b/>
                <w:bCs/>
                <w:sz w:val="18"/>
                <w:szCs w:val="18"/>
              </w:rPr>
            </w:pPr>
            <w:r w:rsidRPr="00815F45">
              <w:rPr>
                <w:rFonts w:cs="B Nazanin"/>
                <w:b/>
                <w:bCs/>
                <w:sz w:val="18"/>
                <w:szCs w:val="18"/>
              </w:rPr>
              <w:t>Class II</w:t>
            </w:r>
          </w:p>
        </w:tc>
        <w:tc>
          <w:tcPr>
            <w:tcW w:w="604" w:type="dxa"/>
            <w:vAlign w:val="center"/>
          </w:tcPr>
          <w:p w:rsidR="008908CD" w:rsidRPr="00815F45" w:rsidRDefault="008908CD" w:rsidP="006A68BF">
            <w:pPr>
              <w:jc w:val="center"/>
              <w:rPr>
                <w:rFonts w:cs="B Lotus"/>
                <w:sz w:val="18"/>
                <w:szCs w:val="18"/>
              </w:rPr>
            </w:pPr>
            <w:r w:rsidRPr="00815F45">
              <w:rPr>
                <w:rFonts w:cs="B Lotus"/>
                <w:sz w:val="18"/>
                <w:szCs w:val="18"/>
              </w:rPr>
              <w:t>28</w:t>
            </w:r>
          </w:p>
        </w:tc>
        <w:tc>
          <w:tcPr>
            <w:tcW w:w="1681" w:type="dxa"/>
          </w:tcPr>
          <w:p w:rsidR="008908CD" w:rsidRPr="00815F45" w:rsidRDefault="008908CD" w:rsidP="006A68BF">
            <w:pPr>
              <w:jc w:val="center"/>
              <w:rPr>
                <w:sz w:val="18"/>
                <w:szCs w:val="18"/>
                <w:rtl/>
              </w:rPr>
            </w:pPr>
            <w:r w:rsidRPr="00815F45">
              <w:rPr>
                <w:rFonts w:cs="B Lotus" w:hint="eastAsia"/>
                <w:sz w:val="18"/>
                <w:szCs w:val="18"/>
              </w:rPr>
              <w:t>±</w:t>
            </w:r>
            <w:r w:rsidRPr="00815F45">
              <w:rPr>
                <w:rFonts w:cs="B Lotus"/>
                <w:sz w:val="18"/>
                <w:szCs w:val="18"/>
              </w:rPr>
              <w:t xml:space="preserve"> 0.591.71</w:t>
            </w:r>
          </w:p>
        </w:tc>
        <w:tc>
          <w:tcPr>
            <w:tcW w:w="672" w:type="dxa"/>
            <w:vMerge/>
          </w:tcPr>
          <w:p w:rsidR="008908CD" w:rsidRPr="00815F45" w:rsidRDefault="008908CD" w:rsidP="006A68BF">
            <w:pPr>
              <w:jc w:val="center"/>
              <w:rPr>
                <w:rFonts w:cs="B Lotus"/>
                <w:sz w:val="18"/>
                <w:szCs w:val="18"/>
              </w:rPr>
            </w:pPr>
          </w:p>
        </w:tc>
        <w:tc>
          <w:tcPr>
            <w:tcW w:w="672" w:type="dxa"/>
            <w:vMerge/>
          </w:tcPr>
          <w:p w:rsidR="008908CD" w:rsidRPr="00815F45" w:rsidRDefault="008908CD" w:rsidP="006A68BF">
            <w:pPr>
              <w:jc w:val="center"/>
              <w:rPr>
                <w:rFonts w:cs="B Lotus"/>
                <w:sz w:val="18"/>
                <w:szCs w:val="18"/>
              </w:rPr>
            </w:pPr>
          </w:p>
        </w:tc>
        <w:tc>
          <w:tcPr>
            <w:tcW w:w="978" w:type="dxa"/>
            <w:vMerge/>
          </w:tcPr>
          <w:p w:rsidR="008908CD" w:rsidRPr="00815F45" w:rsidRDefault="008908CD" w:rsidP="006A68BF">
            <w:pPr>
              <w:jc w:val="center"/>
              <w:rPr>
                <w:rFonts w:cs="B Lotus"/>
                <w:sz w:val="18"/>
                <w:szCs w:val="18"/>
              </w:rPr>
            </w:pPr>
          </w:p>
        </w:tc>
        <w:tc>
          <w:tcPr>
            <w:tcW w:w="603" w:type="dxa"/>
            <w:vMerge/>
            <w:vAlign w:val="center"/>
          </w:tcPr>
          <w:p w:rsidR="008908CD" w:rsidRPr="00815F45" w:rsidRDefault="008908CD" w:rsidP="006A68BF">
            <w:pPr>
              <w:jc w:val="center"/>
              <w:rPr>
                <w:rFonts w:cs="B Lotus"/>
                <w:sz w:val="18"/>
                <w:szCs w:val="18"/>
              </w:rPr>
            </w:pPr>
          </w:p>
        </w:tc>
        <w:tc>
          <w:tcPr>
            <w:tcW w:w="840" w:type="dxa"/>
            <w:vMerge/>
            <w:vAlign w:val="center"/>
          </w:tcPr>
          <w:p w:rsidR="008908CD" w:rsidRPr="00815F45" w:rsidRDefault="008908CD" w:rsidP="006A68BF">
            <w:pPr>
              <w:jc w:val="center"/>
              <w:rPr>
                <w:rFonts w:cs="B Lotus"/>
                <w:sz w:val="18"/>
                <w:szCs w:val="18"/>
              </w:rPr>
            </w:pPr>
          </w:p>
        </w:tc>
        <w:tc>
          <w:tcPr>
            <w:tcW w:w="886" w:type="dxa"/>
            <w:vMerge/>
            <w:vAlign w:val="center"/>
          </w:tcPr>
          <w:p w:rsidR="008908CD" w:rsidRPr="00815F45" w:rsidRDefault="008908CD" w:rsidP="006A68BF">
            <w:pPr>
              <w:jc w:val="center"/>
              <w:rPr>
                <w:rFonts w:cs="B Lotus"/>
                <w:sz w:val="18"/>
                <w:szCs w:val="18"/>
              </w:rPr>
            </w:pPr>
          </w:p>
        </w:tc>
      </w:tr>
    </w:tbl>
    <w:p w:rsidR="008908CD" w:rsidRDefault="008908CD" w:rsidP="008A1EFB">
      <w:pPr>
        <w:spacing w:line="360" w:lineRule="auto"/>
        <w:jc w:val="both"/>
        <w:rPr>
          <w:rFonts w:asciiTheme="majorBidi" w:hAnsiTheme="majorBidi" w:cstheme="majorBidi"/>
          <w:b/>
          <w:color w:val="000000"/>
          <w:sz w:val="24"/>
          <w:szCs w:val="24"/>
        </w:rPr>
      </w:pPr>
    </w:p>
    <w:p w:rsidR="008908CD" w:rsidRDefault="008908CD" w:rsidP="008908CD">
      <w:pPr>
        <w:tabs>
          <w:tab w:val="left" w:pos="971"/>
          <w:tab w:val="left" w:pos="2021"/>
        </w:tabs>
        <w:spacing w:line="360" w:lineRule="auto"/>
        <w:jc w:val="center"/>
        <w:rPr>
          <w:rtl/>
          <w:lang w:bidi="fa-IR"/>
        </w:rPr>
      </w:pPr>
    </w:p>
    <w:p w:rsidR="008908CD" w:rsidRPr="00BE3A95" w:rsidRDefault="002B0D50" w:rsidP="002B0D50">
      <w:pPr>
        <w:tabs>
          <w:tab w:val="left" w:pos="971"/>
          <w:tab w:val="left" w:pos="2021"/>
        </w:tabs>
        <w:spacing w:line="360" w:lineRule="auto"/>
        <w:rPr>
          <w:rFonts w:cs="B Lotus"/>
          <w:sz w:val="18"/>
          <w:szCs w:val="18"/>
          <w:rtl/>
          <w:lang w:bidi="fa-IR"/>
        </w:rPr>
      </w:pPr>
      <w:r w:rsidRPr="0040612A">
        <w:rPr>
          <w:rFonts w:cs="B Lotus"/>
          <w:b/>
          <w:bCs/>
          <w:sz w:val="18"/>
          <w:szCs w:val="18"/>
        </w:rPr>
        <w:t>Table</w:t>
      </w:r>
      <w:r>
        <w:rPr>
          <w:rFonts w:cs="B Lotus"/>
          <w:b/>
          <w:bCs/>
          <w:sz w:val="18"/>
          <w:szCs w:val="18"/>
        </w:rPr>
        <w:t>4.</w:t>
      </w:r>
      <w:r w:rsidR="008908CD" w:rsidRPr="0040612A">
        <w:rPr>
          <w:rFonts w:cs="B Lotus"/>
          <w:sz w:val="18"/>
          <w:szCs w:val="18"/>
        </w:rPr>
        <w:t xml:space="preserve">Comparison of mean </w:t>
      </w:r>
      <w:r w:rsidR="008908CD">
        <w:rPr>
          <w:rFonts w:cs="B Lotus"/>
          <w:sz w:val="18"/>
          <w:szCs w:val="18"/>
        </w:rPr>
        <w:t xml:space="preserve">irregularity index change from posttreatment to postretention </w:t>
      </w:r>
      <w:r w:rsidR="008908CD" w:rsidRPr="0040612A">
        <w:rPr>
          <w:rFonts w:cs="B Lotus"/>
          <w:sz w:val="18"/>
          <w:szCs w:val="18"/>
        </w:rPr>
        <w:t>between groups.</w:t>
      </w:r>
    </w:p>
    <w:tbl>
      <w:tblPr>
        <w:tblW w:w="88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22"/>
        <w:gridCol w:w="606"/>
        <w:gridCol w:w="1685"/>
        <w:gridCol w:w="674"/>
        <w:gridCol w:w="717"/>
        <w:gridCol w:w="936"/>
        <w:gridCol w:w="605"/>
        <w:gridCol w:w="842"/>
        <w:gridCol w:w="888"/>
      </w:tblGrid>
      <w:tr w:rsidR="008908CD" w:rsidRPr="00815F45" w:rsidTr="006A68BF">
        <w:trPr>
          <w:trHeight w:val="690"/>
          <w:jc w:val="center"/>
        </w:trPr>
        <w:tc>
          <w:tcPr>
            <w:tcW w:w="1922" w:type="dxa"/>
            <w:shd w:val="thinReverseDiagStripe" w:color="C0C0C0" w:fill="999999"/>
            <w:vAlign w:val="center"/>
          </w:tcPr>
          <w:p w:rsidR="008908CD" w:rsidRPr="00815F45" w:rsidRDefault="008908CD" w:rsidP="006A68BF">
            <w:pPr>
              <w:jc w:val="center"/>
              <w:rPr>
                <w:rFonts w:cs="B Lotus"/>
                <w:b/>
                <w:bCs/>
                <w:sz w:val="18"/>
                <w:szCs w:val="18"/>
                <w:lang w:bidi="fa-IR"/>
              </w:rPr>
            </w:pPr>
            <w:r w:rsidRPr="00815F45">
              <w:rPr>
                <w:b/>
                <w:bCs/>
                <w:sz w:val="18"/>
                <w:szCs w:val="18"/>
              </w:rPr>
              <w:t>Group</w:t>
            </w:r>
          </w:p>
        </w:tc>
        <w:tc>
          <w:tcPr>
            <w:tcW w:w="606" w:type="dxa"/>
            <w:vAlign w:val="center"/>
          </w:tcPr>
          <w:p w:rsidR="008908CD" w:rsidRPr="00815F45" w:rsidRDefault="008908CD" w:rsidP="006A68BF">
            <w:pPr>
              <w:jc w:val="center"/>
              <w:rPr>
                <w:rFonts w:cs="B Lotus"/>
                <w:sz w:val="18"/>
                <w:szCs w:val="18"/>
              </w:rPr>
            </w:pPr>
            <w:r w:rsidRPr="00815F45">
              <w:rPr>
                <w:rFonts w:cs="B Lotus"/>
                <w:sz w:val="18"/>
                <w:szCs w:val="18"/>
              </w:rPr>
              <w:t>N</w:t>
            </w:r>
          </w:p>
        </w:tc>
        <w:tc>
          <w:tcPr>
            <w:tcW w:w="1685" w:type="dxa"/>
            <w:vAlign w:val="center"/>
          </w:tcPr>
          <w:p w:rsidR="008908CD" w:rsidRPr="00815F45" w:rsidRDefault="008908CD" w:rsidP="006A68BF">
            <w:pPr>
              <w:jc w:val="center"/>
              <w:rPr>
                <w:rFonts w:cs="B Lotus"/>
                <w:sz w:val="18"/>
                <w:szCs w:val="18"/>
              </w:rPr>
            </w:pPr>
            <w:r w:rsidRPr="00815F45">
              <w:rPr>
                <w:rFonts w:cs="B Lotus"/>
                <w:sz w:val="18"/>
                <w:szCs w:val="18"/>
              </w:rPr>
              <w:t>Mean</w:t>
            </w:r>
            <w:r w:rsidRPr="00815F45">
              <w:rPr>
                <w:rFonts w:cs="B Lotus" w:hint="eastAsia"/>
                <w:sz w:val="18"/>
                <w:szCs w:val="18"/>
              </w:rPr>
              <w:t>±</w:t>
            </w:r>
            <w:r w:rsidRPr="00815F45">
              <w:rPr>
                <w:rFonts w:cs="B Lotus"/>
                <w:sz w:val="18"/>
                <w:szCs w:val="18"/>
              </w:rPr>
              <w:t>SD</w:t>
            </w:r>
          </w:p>
        </w:tc>
        <w:tc>
          <w:tcPr>
            <w:tcW w:w="674" w:type="dxa"/>
            <w:vAlign w:val="center"/>
          </w:tcPr>
          <w:p w:rsidR="008908CD" w:rsidRPr="00815F45" w:rsidRDefault="008908CD" w:rsidP="006A68BF">
            <w:pPr>
              <w:jc w:val="center"/>
              <w:rPr>
                <w:sz w:val="18"/>
                <w:szCs w:val="18"/>
                <w:rtl/>
              </w:rPr>
            </w:pPr>
            <w:r w:rsidRPr="00815F45">
              <w:rPr>
                <w:sz w:val="18"/>
                <w:szCs w:val="18"/>
              </w:rPr>
              <w:t>Total mean</w:t>
            </w:r>
          </w:p>
        </w:tc>
        <w:tc>
          <w:tcPr>
            <w:tcW w:w="717" w:type="dxa"/>
            <w:vAlign w:val="center"/>
          </w:tcPr>
          <w:p w:rsidR="008908CD" w:rsidRPr="00815F45" w:rsidRDefault="008908CD" w:rsidP="006A68BF">
            <w:pPr>
              <w:jc w:val="center"/>
              <w:rPr>
                <w:sz w:val="18"/>
                <w:szCs w:val="18"/>
                <w:rtl/>
              </w:rPr>
            </w:pPr>
            <w:r w:rsidRPr="00815F45">
              <w:rPr>
                <w:sz w:val="18"/>
                <w:szCs w:val="18"/>
              </w:rPr>
              <w:t>F</w:t>
            </w:r>
          </w:p>
        </w:tc>
        <w:tc>
          <w:tcPr>
            <w:tcW w:w="936" w:type="dxa"/>
            <w:vAlign w:val="center"/>
          </w:tcPr>
          <w:p w:rsidR="008908CD" w:rsidRPr="00815F45" w:rsidRDefault="008908CD" w:rsidP="006A68BF">
            <w:pPr>
              <w:jc w:val="center"/>
              <w:rPr>
                <w:sz w:val="18"/>
                <w:szCs w:val="18"/>
                <w:rtl/>
              </w:rPr>
            </w:pPr>
            <w:r w:rsidRPr="00815F45">
              <w:rPr>
                <w:rFonts w:cs="B Lotus"/>
                <w:sz w:val="18"/>
                <w:szCs w:val="18"/>
                <w:lang w:val="az-Latn-AZ"/>
              </w:rPr>
              <w:t>P</w:t>
            </w:r>
            <w:r w:rsidRPr="00815F45">
              <w:rPr>
                <w:rFonts w:cs="B Lotus"/>
                <w:sz w:val="18"/>
                <w:szCs w:val="18"/>
              </w:rPr>
              <w:t>-Value</w:t>
            </w:r>
          </w:p>
        </w:tc>
        <w:tc>
          <w:tcPr>
            <w:tcW w:w="605" w:type="dxa"/>
            <w:vAlign w:val="center"/>
          </w:tcPr>
          <w:p w:rsidR="008908CD" w:rsidRPr="00815F45" w:rsidRDefault="008908CD" w:rsidP="006A68BF">
            <w:pPr>
              <w:jc w:val="center"/>
              <w:rPr>
                <w:sz w:val="18"/>
                <w:szCs w:val="18"/>
                <w:rtl/>
              </w:rPr>
            </w:pPr>
            <w:r w:rsidRPr="00815F45">
              <w:rPr>
                <w:sz w:val="18"/>
                <w:szCs w:val="18"/>
              </w:rPr>
              <w:t>t</w:t>
            </w:r>
          </w:p>
        </w:tc>
        <w:tc>
          <w:tcPr>
            <w:tcW w:w="842" w:type="dxa"/>
            <w:vAlign w:val="center"/>
          </w:tcPr>
          <w:p w:rsidR="008908CD" w:rsidRPr="00815F45" w:rsidRDefault="008908CD" w:rsidP="006A68BF">
            <w:pPr>
              <w:jc w:val="center"/>
              <w:rPr>
                <w:sz w:val="18"/>
                <w:szCs w:val="18"/>
              </w:rPr>
            </w:pPr>
            <w:r w:rsidRPr="00815F45">
              <w:rPr>
                <w:sz w:val="18"/>
                <w:szCs w:val="18"/>
              </w:rPr>
              <w:t>Df</w:t>
            </w:r>
          </w:p>
        </w:tc>
        <w:tc>
          <w:tcPr>
            <w:tcW w:w="888" w:type="dxa"/>
            <w:vAlign w:val="center"/>
          </w:tcPr>
          <w:p w:rsidR="008908CD" w:rsidRPr="00815F45" w:rsidRDefault="008908CD" w:rsidP="006A68BF">
            <w:pPr>
              <w:jc w:val="center"/>
              <w:rPr>
                <w:sz w:val="18"/>
                <w:szCs w:val="18"/>
              </w:rPr>
            </w:pPr>
            <w:r w:rsidRPr="00815F45">
              <w:rPr>
                <w:rFonts w:cs="B Lotus"/>
                <w:sz w:val="18"/>
                <w:szCs w:val="18"/>
                <w:lang w:val="az-Latn-AZ"/>
              </w:rPr>
              <w:t>P</w:t>
            </w:r>
            <w:r w:rsidRPr="00815F45">
              <w:rPr>
                <w:rFonts w:cs="B Lotus"/>
                <w:sz w:val="18"/>
                <w:szCs w:val="18"/>
              </w:rPr>
              <w:t>-Value</w:t>
            </w:r>
          </w:p>
        </w:tc>
      </w:tr>
      <w:tr w:rsidR="008908CD" w:rsidRPr="00815F45" w:rsidTr="006A68BF">
        <w:trPr>
          <w:trHeight w:val="439"/>
          <w:jc w:val="center"/>
        </w:trPr>
        <w:tc>
          <w:tcPr>
            <w:tcW w:w="1922" w:type="dxa"/>
            <w:vAlign w:val="center"/>
          </w:tcPr>
          <w:p w:rsidR="008908CD" w:rsidRPr="00815F45" w:rsidRDefault="008908CD" w:rsidP="006A68BF">
            <w:pPr>
              <w:jc w:val="center"/>
              <w:rPr>
                <w:rFonts w:cs="B Lotus"/>
                <w:b/>
                <w:bCs/>
                <w:sz w:val="18"/>
                <w:szCs w:val="18"/>
                <w:rtl/>
              </w:rPr>
            </w:pPr>
            <w:r w:rsidRPr="00815F45">
              <w:rPr>
                <w:rFonts w:cs="B Nazanin"/>
                <w:b/>
                <w:bCs/>
                <w:sz w:val="18"/>
                <w:szCs w:val="18"/>
              </w:rPr>
              <w:t>Class I</w:t>
            </w:r>
          </w:p>
        </w:tc>
        <w:tc>
          <w:tcPr>
            <w:tcW w:w="606" w:type="dxa"/>
            <w:vAlign w:val="center"/>
          </w:tcPr>
          <w:p w:rsidR="008908CD" w:rsidRPr="00815F45" w:rsidRDefault="008908CD" w:rsidP="006A68BF">
            <w:pPr>
              <w:jc w:val="center"/>
              <w:rPr>
                <w:rFonts w:cs="B Lotus"/>
                <w:sz w:val="18"/>
                <w:szCs w:val="18"/>
              </w:rPr>
            </w:pPr>
            <w:r w:rsidRPr="00815F45">
              <w:rPr>
                <w:rFonts w:cs="B Lotus"/>
                <w:sz w:val="18"/>
                <w:szCs w:val="18"/>
              </w:rPr>
              <w:t>28</w:t>
            </w:r>
          </w:p>
        </w:tc>
        <w:tc>
          <w:tcPr>
            <w:tcW w:w="1685" w:type="dxa"/>
            <w:vAlign w:val="center"/>
          </w:tcPr>
          <w:p w:rsidR="008908CD" w:rsidRPr="00815F45" w:rsidRDefault="008908CD" w:rsidP="006A68BF">
            <w:pPr>
              <w:spacing w:line="192" w:lineRule="auto"/>
              <w:jc w:val="center"/>
              <w:rPr>
                <w:rFonts w:cs="B Lotus"/>
                <w:sz w:val="18"/>
                <w:szCs w:val="18"/>
              </w:rPr>
            </w:pPr>
            <w:r w:rsidRPr="00815F45">
              <w:rPr>
                <w:rFonts w:cs="B Lotus" w:hint="eastAsia"/>
                <w:sz w:val="18"/>
                <w:szCs w:val="18"/>
              </w:rPr>
              <w:t>±</w:t>
            </w:r>
            <w:r w:rsidRPr="00815F45">
              <w:rPr>
                <w:rFonts w:cs="B Lotus"/>
                <w:sz w:val="18"/>
                <w:szCs w:val="18"/>
              </w:rPr>
              <w:t xml:space="preserve"> 1.082.73</w:t>
            </w:r>
          </w:p>
        </w:tc>
        <w:tc>
          <w:tcPr>
            <w:tcW w:w="674" w:type="dxa"/>
            <w:vMerge w:val="restart"/>
            <w:vAlign w:val="center"/>
          </w:tcPr>
          <w:p w:rsidR="008908CD" w:rsidRPr="00815F45" w:rsidRDefault="008908CD" w:rsidP="006A68BF">
            <w:pPr>
              <w:jc w:val="center"/>
              <w:rPr>
                <w:rFonts w:cs="B Lotus"/>
                <w:sz w:val="18"/>
                <w:szCs w:val="18"/>
                <w:rtl/>
              </w:rPr>
            </w:pPr>
            <w:r w:rsidRPr="00815F45">
              <w:rPr>
                <w:rFonts w:cs="B Lotus"/>
                <w:sz w:val="18"/>
                <w:szCs w:val="18"/>
              </w:rPr>
              <w:t>2.04</w:t>
            </w:r>
          </w:p>
        </w:tc>
        <w:tc>
          <w:tcPr>
            <w:tcW w:w="717" w:type="dxa"/>
            <w:vMerge w:val="restart"/>
            <w:vAlign w:val="center"/>
          </w:tcPr>
          <w:p w:rsidR="008908CD" w:rsidRPr="00815F45" w:rsidRDefault="008908CD" w:rsidP="006A68BF">
            <w:pPr>
              <w:jc w:val="center"/>
              <w:rPr>
                <w:rFonts w:cs="B Lotus"/>
                <w:sz w:val="18"/>
                <w:szCs w:val="18"/>
              </w:rPr>
            </w:pPr>
            <w:r w:rsidRPr="00815F45">
              <w:rPr>
                <w:rFonts w:cs="B Lotus"/>
                <w:sz w:val="18"/>
                <w:szCs w:val="18"/>
              </w:rPr>
              <w:t>12.36</w:t>
            </w:r>
          </w:p>
        </w:tc>
        <w:tc>
          <w:tcPr>
            <w:tcW w:w="936" w:type="dxa"/>
            <w:vMerge w:val="restart"/>
            <w:vAlign w:val="center"/>
          </w:tcPr>
          <w:p w:rsidR="008908CD" w:rsidRPr="00815F45" w:rsidRDefault="008908CD" w:rsidP="006A68BF">
            <w:pPr>
              <w:jc w:val="center"/>
              <w:rPr>
                <w:rFonts w:cs="B Lotus"/>
                <w:sz w:val="18"/>
                <w:szCs w:val="18"/>
              </w:rPr>
            </w:pPr>
            <w:r w:rsidRPr="00815F45">
              <w:rPr>
                <w:rFonts w:cs="B Lotus"/>
                <w:sz w:val="18"/>
                <w:szCs w:val="18"/>
              </w:rPr>
              <w:t>0.001</w:t>
            </w:r>
          </w:p>
        </w:tc>
        <w:tc>
          <w:tcPr>
            <w:tcW w:w="605" w:type="dxa"/>
            <w:vMerge w:val="restart"/>
            <w:vAlign w:val="center"/>
          </w:tcPr>
          <w:p w:rsidR="008908CD" w:rsidRPr="00815F45" w:rsidRDefault="008908CD" w:rsidP="006A68BF">
            <w:pPr>
              <w:jc w:val="center"/>
              <w:rPr>
                <w:rFonts w:cs="B Lotus"/>
                <w:sz w:val="18"/>
                <w:szCs w:val="18"/>
              </w:rPr>
            </w:pPr>
            <w:r w:rsidRPr="00815F45">
              <w:rPr>
                <w:rFonts w:cs="B Lotus"/>
                <w:sz w:val="18"/>
                <w:szCs w:val="18"/>
              </w:rPr>
              <w:t>6.17</w:t>
            </w:r>
          </w:p>
        </w:tc>
        <w:tc>
          <w:tcPr>
            <w:tcW w:w="842" w:type="dxa"/>
            <w:vMerge w:val="restart"/>
            <w:vAlign w:val="center"/>
          </w:tcPr>
          <w:p w:rsidR="008908CD" w:rsidRPr="00815F45" w:rsidRDefault="008908CD" w:rsidP="006A68BF">
            <w:pPr>
              <w:jc w:val="center"/>
              <w:rPr>
                <w:rFonts w:cs="B Lotus"/>
                <w:sz w:val="18"/>
                <w:szCs w:val="18"/>
              </w:rPr>
            </w:pPr>
            <w:r w:rsidRPr="00815F45">
              <w:rPr>
                <w:rFonts w:cs="B Lotus"/>
                <w:sz w:val="18"/>
                <w:szCs w:val="18"/>
              </w:rPr>
              <w:t>36.99</w:t>
            </w:r>
          </w:p>
        </w:tc>
        <w:tc>
          <w:tcPr>
            <w:tcW w:w="888" w:type="dxa"/>
            <w:vMerge w:val="restart"/>
            <w:vAlign w:val="center"/>
          </w:tcPr>
          <w:p w:rsidR="008908CD" w:rsidRPr="00815F45" w:rsidRDefault="008908CD" w:rsidP="006A68BF">
            <w:pPr>
              <w:jc w:val="center"/>
              <w:rPr>
                <w:rFonts w:cs="B Lotus"/>
                <w:sz w:val="18"/>
                <w:szCs w:val="18"/>
              </w:rPr>
            </w:pPr>
            <w:r w:rsidRPr="00815F45">
              <w:rPr>
                <w:rFonts w:cs="B Lotus"/>
                <w:sz w:val="18"/>
                <w:szCs w:val="18"/>
              </w:rPr>
              <w:t>0.000</w:t>
            </w:r>
          </w:p>
        </w:tc>
      </w:tr>
      <w:tr w:rsidR="008908CD" w:rsidRPr="00815F45" w:rsidTr="006A68BF">
        <w:trPr>
          <w:trHeight w:val="205"/>
          <w:jc w:val="center"/>
        </w:trPr>
        <w:tc>
          <w:tcPr>
            <w:tcW w:w="1922" w:type="dxa"/>
            <w:vAlign w:val="center"/>
          </w:tcPr>
          <w:p w:rsidR="008908CD" w:rsidRPr="00815F45" w:rsidRDefault="008908CD" w:rsidP="006A68BF">
            <w:pPr>
              <w:jc w:val="center"/>
              <w:rPr>
                <w:rFonts w:cs="B Lotus"/>
                <w:b/>
                <w:bCs/>
                <w:sz w:val="18"/>
                <w:szCs w:val="18"/>
              </w:rPr>
            </w:pPr>
            <w:r w:rsidRPr="00815F45">
              <w:rPr>
                <w:rFonts w:cs="B Nazanin"/>
                <w:b/>
                <w:bCs/>
                <w:sz w:val="18"/>
                <w:szCs w:val="18"/>
              </w:rPr>
              <w:t>Class II</w:t>
            </w:r>
          </w:p>
        </w:tc>
        <w:tc>
          <w:tcPr>
            <w:tcW w:w="606" w:type="dxa"/>
            <w:vAlign w:val="center"/>
          </w:tcPr>
          <w:p w:rsidR="008908CD" w:rsidRPr="00815F45" w:rsidRDefault="008908CD" w:rsidP="006A68BF">
            <w:pPr>
              <w:jc w:val="center"/>
              <w:rPr>
                <w:rFonts w:cs="B Lotus"/>
                <w:sz w:val="18"/>
                <w:szCs w:val="18"/>
              </w:rPr>
            </w:pPr>
            <w:r w:rsidRPr="00815F45">
              <w:rPr>
                <w:rFonts w:cs="B Lotus"/>
                <w:sz w:val="18"/>
                <w:szCs w:val="18"/>
              </w:rPr>
              <w:t>28</w:t>
            </w:r>
          </w:p>
        </w:tc>
        <w:tc>
          <w:tcPr>
            <w:tcW w:w="1685" w:type="dxa"/>
          </w:tcPr>
          <w:p w:rsidR="008908CD" w:rsidRPr="00815F45" w:rsidRDefault="008908CD" w:rsidP="006A68BF">
            <w:pPr>
              <w:jc w:val="center"/>
              <w:rPr>
                <w:sz w:val="18"/>
                <w:szCs w:val="18"/>
                <w:rtl/>
              </w:rPr>
            </w:pPr>
            <w:r w:rsidRPr="00815F45">
              <w:rPr>
                <w:rFonts w:cs="B Lotus" w:hint="eastAsia"/>
                <w:sz w:val="18"/>
                <w:szCs w:val="18"/>
              </w:rPr>
              <w:t>±</w:t>
            </w:r>
            <w:r w:rsidRPr="00815F45">
              <w:rPr>
                <w:rFonts w:cs="B Lotus"/>
                <w:sz w:val="18"/>
                <w:szCs w:val="18"/>
              </w:rPr>
              <w:t xml:space="preserve"> 0.471.35</w:t>
            </w:r>
          </w:p>
        </w:tc>
        <w:tc>
          <w:tcPr>
            <w:tcW w:w="674" w:type="dxa"/>
            <w:vMerge/>
          </w:tcPr>
          <w:p w:rsidR="008908CD" w:rsidRPr="00815F45" w:rsidRDefault="008908CD" w:rsidP="006A68BF">
            <w:pPr>
              <w:jc w:val="center"/>
              <w:rPr>
                <w:rFonts w:cs="B Lotus"/>
                <w:sz w:val="18"/>
                <w:szCs w:val="18"/>
              </w:rPr>
            </w:pPr>
          </w:p>
        </w:tc>
        <w:tc>
          <w:tcPr>
            <w:tcW w:w="717" w:type="dxa"/>
            <w:vMerge/>
          </w:tcPr>
          <w:p w:rsidR="008908CD" w:rsidRPr="00815F45" w:rsidRDefault="008908CD" w:rsidP="006A68BF">
            <w:pPr>
              <w:jc w:val="center"/>
              <w:rPr>
                <w:rFonts w:cs="B Lotus"/>
                <w:sz w:val="18"/>
                <w:szCs w:val="18"/>
              </w:rPr>
            </w:pPr>
          </w:p>
        </w:tc>
        <w:tc>
          <w:tcPr>
            <w:tcW w:w="936" w:type="dxa"/>
            <w:vMerge/>
          </w:tcPr>
          <w:p w:rsidR="008908CD" w:rsidRPr="00815F45" w:rsidRDefault="008908CD" w:rsidP="006A68BF">
            <w:pPr>
              <w:jc w:val="center"/>
              <w:rPr>
                <w:rFonts w:cs="B Lotus"/>
                <w:sz w:val="18"/>
                <w:szCs w:val="18"/>
              </w:rPr>
            </w:pPr>
          </w:p>
        </w:tc>
        <w:tc>
          <w:tcPr>
            <w:tcW w:w="605" w:type="dxa"/>
            <w:vMerge/>
            <w:vAlign w:val="center"/>
          </w:tcPr>
          <w:p w:rsidR="008908CD" w:rsidRPr="00815F45" w:rsidRDefault="008908CD" w:rsidP="006A68BF">
            <w:pPr>
              <w:jc w:val="center"/>
              <w:rPr>
                <w:rFonts w:cs="B Lotus"/>
                <w:sz w:val="18"/>
                <w:szCs w:val="18"/>
              </w:rPr>
            </w:pPr>
          </w:p>
        </w:tc>
        <w:tc>
          <w:tcPr>
            <w:tcW w:w="842" w:type="dxa"/>
            <w:vMerge/>
            <w:vAlign w:val="center"/>
          </w:tcPr>
          <w:p w:rsidR="008908CD" w:rsidRPr="00815F45" w:rsidRDefault="008908CD" w:rsidP="006A68BF">
            <w:pPr>
              <w:jc w:val="center"/>
              <w:rPr>
                <w:rFonts w:cs="B Lotus"/>
                <w:sz w:val="18"/>
                <w:szCs w:val="18"/>
              </w:rPr>
            </w:pPr>
          </w:p>
        </w:tc>
        <w:tc>
          <w:tcPr>
            <w:tcW w:w="888" w:type="dxa"/>
            <w:vMerge/>
            <w:vAlign w:val="center"/>
          </w:tcPr>
          <w:p w:rsidR="008908CD" w:rsidRPr="00815F45" w:rsidRDefault="008908CD" w:rsidP="006A68BF">
            <w:pPr>
              <w:jc w:val="center"/>
              <w:rPr>
                <w:rFonts w:cs="B Lotus"/>
                <w:sz w:val="18"/>
                <w:szCs w:val="18"/>
              </w:rPr>
            </w:pPr>
          </w:p>
        </w:tc>
      </w:tr>
    </w:tbl>
    <w:p w:rsidR="008908CD" w:rsidRDefault="008908CD" w:rsidP="008908CD">
      <w:pPr>
        <w:tabs>
          <w:tab w:val="left" w:pos="971"/>
        </w:tabs>
        <w:rPr>
          <w:rtl/>
          <w:lang w:bidi="fa-IR"/>
        </w:rPr>
      </w:pPr>
    </w:p>
    <w:p w:rsidR="008908CD" w:rsidRDefault="008908CD" w:rsidP="008A1EFB">
      <w:pPr>
        <w:spacing w:line="360" w:lineRule="auto"/>
        <w:jc w:val="both"/>
        <w:rPr>
          <w:rFonts w:asciiTheme="majorBidi" w:hAnsiTheme="majorBidi" w:cstheme="majorBidi"/>
          <w:b/>
          <w:color w:val="000000"/>
          <w:sz w:val="24"/>
          <w:szCs w:val="24"/>
        </w:rPr>
      </w:pPr>
    </w:p>
    <w:p w:rsidR="008A1EFB" w:rsidRPr="009A0A9C" w:rsidRDefault="008A1EFB" w:rsidP="008A1EFB">
      <w:pPr>
        <w:spacing w:line="360" w:lineRule="auto"/>
        <w:jc w:val="both"/>
        <w:rPr>
          <w:rFonts w:asciiTheme="majorBidi" w:hAnsiTheme="majorBidi" w:cstheme="majorBidi"/>
          <w:sz w:val="24"/>
          <w:szCs w:val="24"/>
          <w:rtl/>
        </w:rPr>
      </w:pPr>
      <w:r w:rsidRPr="009A0A9C">
        <w:rPr>
          <w:rFonts w:asciiTheme="majorBidi" w:hAnsiTheme="majorBidi" w:cstheme="majorBidi"/>
          <w:b/>
          <w:color w:val="000000"/>
          <w:sz w:val="24"/>
          <w:szCs w:val="24"/>
        </w:rPr>
        <w:t>Discussion</w:t>
      </w:r>
      <w:r w:rsidRPr="009A0A9C">
        <w:rPr>
          <w:rFonts w:asciiTheme="majorBidi" w:hAnsiTheme="majorBidi" w:cstheme="majorBidi"/>
          <w:b/>
          <w:color w:val="000000"/>
          <w:sz w:val="24"/>
          <w:szCs w:val="24"/>
        </w:rPr>
        <w:br/>
      </w:r>
      <w:r w:rsidRPr="009A0A9C">
        <w:rPr>
          <w:rFonts w:asciiTheme="majorBidi" w:hAnsiTheme="majorBidi" w:cstheme="majorBidi"/>
          <w:sz w:val="24"/>
          <w:szCs w:val="24"/>
        </w:rPr>
        <w:t>In the present study , there is greater relapse tendency in the class I group, showing greater amounts of irregularity post-retention (2.81±1.08mm). In the post-retention period a lingual displacement of the anterior mandibular segment relative to the body of the mandible is seen. This has also been described during normal growth. It is postulated that the weaker labial muscular forces do not induce lingual movement of the dentition and subsequent arch length shortening in class II subjects</w:t>
      </w:r>
      <w:r w:rsidRPr="009A0A9C">
        <w:rPr>
          <w:rFonts w:asciiTheme="majorBidi" w:hAnsiTheme="majorBidi" w:cstheme="majorBidi"/>
          <w:sz w:val="24"/>
          <w:szCs w:val="24"/>
          <w:vertAlign w:val="superscript"/>
        </w:rPr>
        <w:t>19</w:t>
      </w:r>
      <w:r w:rsidRPr="009A0A9C">
        <w:rPr>
          <w:rFonts w:asciiTheme="majorBidi" w:hAnsiTheme="majorBidi" w:cstheme="majorBidi"/>
          <w:sz w:val="24"/>
          <w:szCs w:val="24"/>
        </w:rPr>
        <w:t>.</w:t>
      </w:r>
    </w:p>
    <w:p w:rsidR="008A1EFB" w:rsidRPr="009A0A9C" w:rsidRDefault="008A1EFB" w:rsidP="008A1EFB">
      <w:pPr>
        <w:spacing w:line="360" w:lineRule="auto"/>
        <w:jc w:val="both"/>
        <w:rPr>
          <w:rFonts w:asciiTheme="majorBidi" w:hAnsiTheme="majorBidi" w:cstheme="majorBidi"/>
          <w:sz w:val="24"/>
          <w:szCs w:val="24"/>
        </w:rPr>
      </w:pPr>
      <w:r w:rsidRPr="009A0A9C">
        <w:rPr>
          <w:rFonts w:asciiTheme="majorBidi" w:hAnsiTheme="majorBidi" w:cstheme="majorBidi"/>
          <w:sz w:val="24"/>
          <w:szCs w:val="24"/>
        </w:rPr>
        <w:lastRenderedPageBreak/>
        <w:t xml:space="preserve"> The class I group showed slightly greater decreases in mandibular intermolar width than Class II patients but this was not statistically significant. The Class I patients in the study of Park showed significantly greater decreases in mandibular intermolar width than Class II patients. Although they did not provide statistical comparisons, De La Cruz et al and Glenn et al also showed greater posttreatment decreases in mandibular intermolar widths among Class I patients than among Class II patients</w:t>
      </w:r>
      <w:r w:rsidRPr="009A0A9C">
        <w:rPr>
          <w:rFonts w:asciiTheme="majorBidi" w:hAnsiTheme="majorBidi" w:cstheme="majorBidi"/>
          <w:sz w:val="24"/>
          <w:szCs w:val="24"/>
          <w:vertAlign w:val="superscript"/>
        </w:rPr>
        <w:t>15</w:t>
      </w:r>
      <w:r w:rsidRPr="009A0A9C">
        <w:rPr>
          <w:rFonts w:asciiTheme="majorBidi" w:hAnsiTheme="majorBidi" w:cstheme="majorBidi"/>
          <w:sz w:val="24"/>
          <w:szCs w:val="24"/>
        </w:rPr>
        <w:t>.</w:t>
      </w:r>
    </w:p>
    <w:p w:rsidR="008A1EFB" w:rsidRPr="009A0A9C" w:rsidRDefault="008A1EFB" w:rsidP="008A1EFB">
      <w:pPr>
        <w:spacing w:line="360" w:lineRule="auto"/>
        <w:jc w:val="both"/>
        <w:rPr>
          <w:rFonts w:asciiTheme="majorBidi" w:hAnsiTheme="majorBidi" w:cstheme="majorBidi"/>
          <w:sz w:val="24"/>
          <w:szCs w:val="24"/>
        </w:rPr>
      </w:pPr>
      <w:r w:rsidRPr="009A0A9C">
        <w:rPr>
          <w:rFonts w:asciiTheme="majorBidi" w:hAnsiTheme="majorBidi" w:cstheme="majorBidi"/>
          <w:sz w:val="24"/>
          <w:szCs w:val="24"/>
        </w:rPr>
        <w:t>Although the method of studying muscle balance has been developed, it is not yet a part of routine record-gathering procedures. Assuming that these forces can be accurately measured, we would need records on a large sample at the three time intervals of this study.  The debate regarding the role of occlusion and function relative to stability is knotty and unresolved. Long-term records are again unavailable, while data collection, standardization, measuring techniques, and countless other problems hinder investigation</w:t>
      </w:r>
      <w:r w:rsidRPr="009A0A9C">
        <w:rPr>
          <w:rFonts w:asciiTheme="majorBidi" w:hAnsiTheme="majorBidi" w:cstheme="majorBidi"/>
          <w:sz w:val="24"/>
          <w:szCs w:val="24"/>
          <w:vertAlign w:val="superscript"/>
        </w:rPr>
        <w:t>7</w:t>
      </w:r>
      <w:r w:rsidRPr="009A0A9C">
        <w:rPr>
          <w:rFonts w:asciiTheme="majorBidi" w:hAnsiTheme="majorBidi" w:cstheme="majorBidi"/>
          <w:sz w:val="24"/>
          <w:szCs w:val="24"/>
        </w:rPr>
        <w:t xml:space="preserve">.  </w:t>
      </w:r>
    </w:p>
    <w:p w:rsidR="008A1EFB" w:rsidRPr="009A0A9C" w:rsidRDefault="008A1EFB" w:rsidP="008A1EFB">
      <w:pPr>
        <w:spacing w:line="360" w:lineRule="auto"/>
        <w:jc w:val="both"/>
        <w:rPr>
          <w:rFonts w:asciiTheme="majorBidi" w:hAnsiTheme="majorBidi" w:cstheme="majorBidi"/>
          <w:sz w:val="24"/>
          <w:szCs w:val="24"/>
        </w:rPr>
      </w:pPr>
      <w:r w:rsidRPr="009A0A9C">
        <w:rPr>
          <w:rFonts w:asciiTheme="majorBidi" w:hAnsiTheme="majorBidi" w:cstheme="majorBidi"/>
          <w:sz w:val="24"/>
          <w:szCs w:val="24"/>
        </w:rPr>
        <w:t>The Class I patients in the study of Park showed significantly greater decreases in mandibular intermolar width than Class II patients. Although they did not provide statistical comparisons, De La Cruz et al and Glenn et al also showed greater posttreatment decreases in mandibular intermolar widths among Class I patients than among Class II patients</w:t>
      </w:r>
      <w:r w:rsidRPr="009A0A9C">
        <w:rPr>
          <w:rFonts w:asciiTheme="majorBidi" w:hAnsiTheme="majorBidi" w:cstheme="majorBidi"/>
          <w:sz w:val="24"/>
          <w:szCs w:val="24"/>
          <w:vertAlign w:val="superscript"/>
        </w:rPr>
        <w:t>15</w:t>
      </w:r>
      <w:r w:rsidRPr="009A0A9C">
        <w:rPr>
          <w:rFonts w:asciiTheme="majorBidi" w:hAnsiTheme="majorBidi" w:cstheme="majorBidi"/>
          <w:sz w:val="24"/>
          <w:szCs w:val="24"/>
        </w:rPr>
        <w:t>.</w:t>
      </w:r>
    </w:p>
    <w:p w:rsidR="008A1EFB" w:rsidRPr="009A0A9C" w:rsidRDefault="008A1EFB" w:rsidP="008A1EFB">
      <w:pPr>
        <w:spacing w:line="360" w:lineRule="auto"/>
        <w:jc w:val="both"/>
        <w:rPr>
          <w:rFonts w:asciiTheme="majorBidi" w:hAnsiTheme="majorBidi" w:cstheme="majorBidi"/>
          <w:sz w:val="24"/>
          <w:szCs w:val="24"/>
        </w:rPr>
      </w:pPr>
      <w:r w:rsidRPr="009A0A9C">
        <w:rPr>
          <w:rFonts w:asciiTheme="majorBidi" w:hAnsiTheme="majorBidi" w:cstheme="majorBidi"/>
          <w:sz w:val="24"/>
          <w:szCs w:val="24"/>
        </w:rPr>
        <w:t>There is evidence to show that intercanine and intermolar widths decrease during the postretention period, especially if expanded during treatment. For this reason, the maintenance of arch form rather than arch development is generally recommended. Expansion is thought to be better tolerated in Class II Division2 cases that show a signiﬁcantly greater ability to maintain intercanine expansion than Class I and Class II Division1 cases. This statement, however, was based on a sample of six patients and was not accepted by Little et al. who maintained that intercanine and intermolar width will relapse if expanded in Class II Division2 cases as much as in other Angle classiﬁcations</w:t>
      </w:r>
      <w:r w:rsidRPr="009A0A9C">
        <w:rPr>
          <w:rFonts w:asciiTheme="majorBidi" w:hAnsiTheme="majorBidi" w:cstheme="majorBidi"/>
          <w:sz w:val="24"/>
          <w:szCs w:val="24"/>
          <w:vertAlign w:val="superscript"/>
        </w:rPr>
        <w:t>20</w:t>
      </w:r>
      <w:r w:rsidRPr="009A0A9C">
        <w:rPr>
          <w:rFonts w:asciiTheme="majorBidi" w:hAnsiTheme="majorBidi" w:cstheme="majorBidi"/>
          <w:sz w:val="24"/>
          <w:szCs w:val="24"/>
        </w:rPr>
        <w:t xml:space="preserve">. </w:t>
      </w:r>
    </w:p>
    <w:p w:rsidR="008A1EFB" w:rsidRPr="009A0A9C" w:rsidRDefault="008A1EFB" w:rsidP="008A1EFB">
      <w:pPr>
        <w:spacing w:line="360" w:lineRule="auto"/>
        <w:jc w:val="both"/>
        <w:rPr>
          <w:rFonts w:asciiTheme="majorBidi" w:hAnsiTheme="majorBidi" w:cstheme="majorBidi"/>
          <w:sz w:val="24"/>
          <w:szCs w:val="24"/>
          <w:rtl/>
        </w:rPr>
      </w:pPr>
      <w:r w:rsidRPr="009A0A9C">
        <w:rPr>
          <w:rFonts w:asciiTheme="majorBidi" w:hAnsiTheme="majorBidi" w:cstheme="majorBidi"/>
          <w:sz w:val="24"/>
          <w:szCs w:val="24"/>
        </w:rPr>
        <w:t>Arch length decreased from pre-treatment to post-treatment which is quite predictable due to extraction treatment and a combination of molar protraction and incisor retraction, however arch length decrease in the post-retention period was significantly greater post-retention in class I group, consistent with more crowding seen in the class I group.</w:t>
      </w:r>
    </w:p>
    <w:p w:rsidR="008A1EFB" w:rsidRPr="009A0A9C" w:rsidRDefault="008A1EFB" w:rsidP="008A1EFB">
      <w:pPr>
        <w:spacing w:line="360" w:lineRule="auto"/>
        <w:jc w:val="both"/>
        <w:rPr>
          <w:rFonts w:asciiTheme="majorBidi" w:hAnsiTheme="majorBidi" w:cstheme="majorBidi"/>
          <w:sz w:val="24"/>
          <w:szCs w:val="24"/>
        </w:rPr>
      </w:pPr>
      <w:r w:rsidRPr="009A0A9C">
        <w:rPr>
          <w:rFonts w:asciiTheme="majorBidi" w:hAnsiTheme="majorBidi" w:cstheme="majorBidi"/>
          <w:sz w:val="24"/>
          <w:szCs w:val="24"/>
        </w:rPr>
        <w:t xml:space="preserve">There were positive and direct correlations found between the degree of pre-treatment irregularity and irregularity index post-retention (i.e., cases with more initial irregularity showed greater crowding post-retention). There were also were positive and direct </w:t>
      </w:r>
      <w:r w:rsidRPr="009A0A9C">
        <w:rPr>
          <w:rFonts w:asciiTheme="majorBidi" w:hAnsiTheme="majorBidi" w:cstheme="majorBidi"/>
          <w:sz w:val="24"/>
          <w:szCs w:val="24"/>
        </w:rPr>
        <w:lastRenderedPageBreak/>
        <w:t>correlations found between the degree of intercanine width relapse and irregularity index post-retention.</w:t>
      </w:r>
    </w:p>
    <w:p w:rsidR="008A1EFB" w:rsidRPr="009A0A9C" w:rsidRDefault="008A1EFB" w:rsidP="008A1EFB">
      <w:pPr>
        <w:spacing w:line="360" w:lineRule="auto"/>
        <w:jc w:val="both"/>
        <w:rPr>
          <w:rFonts w:asciiTheme="majorBidi" w:hAnsiTheme="majorBidi" w:cstheme="majorBidi"/>
          <w:sz w:val="24"/>
          <w:szCs w:val="24"/>
        </w:rPr>
      </w:pPr>
      <w:r w:rsidRPr="009A0A9C">
        <w:rPr>
          <w:rFonts w:asciiTheme="majorBidi" w:hAnsiTheme="majorBidi" w:cstheme="majorBidi"/>
          <w:sz w:val="24"/>
          <w:szCs w:val="24"/>
        </w:rPr>
        <w:t xml:space="preserve">In view of the present knowledge, it was impossible to identify if difference between class I and class II relapse posttreatment was the result of orthodontic treatment alone or of physiologic changes in the dentition and surrounding tissues during the follow-up period. It has been shown that craniofacial alterations occur in adults and are accompanied by compensatory changes in the dentition. To evaluate the relapse, where several factors may act at different time intervals together with natural craniofacial alterations and compensatory changes in the dentition, the researchers have to focus on and use prospective well-designed follow-up studies with untreated controls. Efforts should be made to avoid bias by using well-defined and sufficiently large samples. </w:t>
      </w:r>
    </w:p>
    <w:p w:rsidR="008A1EFB" w:rsidRPr="009A0A9C" w:rsidRDefault="008A1EFB" w:rsidP="008A1EFB">
      <w:pPr>
        <w:spacing w:line="360" w:lineRule="auto"/>
        <w:jc w:val="both"/>
        <w:rPr>
          <w:rFonts w:asciiTheme="majorBidi" w:hAnsiTheme="majorBidi" w:cstheme="majorBidi"/>
          <w:color w:val="000000"/>
          <w:sz w:val="24"/>
          <w:szCs w:val="24"/>
        </w:rPr>
      </w:pPr>
      <w:r w:rsidRPr="009A0A9C">
        <w:rPr>
          <w:rFonts w:asciiTheme="majorBidi" w:hAnsiTheme="majorBidi" w:cstheme="majorBidi"/>
          <w:b/>
          <w:color w:val="000000"/>
          <w:sz w:val="24"/>
          <w:szCs w:val="24"/>
        </w:rPr>
        <w:t>Conclusion</w:t>
      </w:r>
    </w:p>
    <w:p w:rsidR="008A1EFB" w:rsidRPr="009A0A9C" w:rsidRDefault="008A1EFB" w:rsidP="008A1EFB">
      <w:pPr>
        <w:spacing w:line="360" w:lineRule="auto"/>
        <w:jc w:val="both"/>
        <w:rPr>
          <w:rFonts w:asciiTheme="majorBidi" w:hAnsiTheme="majorBidi" w:cstheme="majorBidi"/>
          <w:color w:val="000000"/>
          <w:sz w:val="24"/>
          <w:szCs w:val="24"/>
        </w:rPr>
      </w:pPr>
      <w:r w:rsidRPr="009A0A9C">
        <w:rPr>
          <w:rFonts w:asciiTheme="majorBidi" w:hAnsiTheme="majorBidi" w:cstheme="majorBidi"/>
          <w:color w:val="000000"/>
          <w:sz w:val="24"/>
          <w:szCs w:val="24"/>
        </w:rPr>
        <w:t>Patients with class I skeletal pattern and higher pretreatment irregularity index are at increased risk of increased post-treatment relapse of mandibular anterior crowding.</w:t>
      </w:r>
    </w:p>
    <w:p w:rsidR="008A1EFB" w:rsidRPr="009A0A9C" w:rsidRDefault="008A1EFB" w:rsidP="008A1EFB">
      <w:pPr>
        <w:rPr>
          <w:rFonts w:asciiTheme="majorBidi" w:eastAsia="Times New Roman" w:hAnsiTheme="majorBidi" w:cstheme="majorBidi"/>
          <w:b/>
          <w:bCs/>
          <w:sz w:val="24"/>
          <w:szCs w:val="24"/>
          <w:lang w:bidi="fa-IR"/>
        </w:rPr>
      </w:pPr>
    </w:p>
    <w:p w:rsidR="008A1EFB" w:rsidRPr="009A0A9C" w:rsidRDefault="008A1EFB" w:rsidP="008A1EFB">
      <w:pPr>
        <w:bidi/>
        <w:spacing w:after="0" w:line="360" w:lineRule="auto"/>
        <w:jc w:val="right"/>
        <w:rPr>
          <w:rFonts w:asciiTheme="majorBidi" w:eastAsia="Times New Roman" w:hAnsiTheme="majorBidi" w:cstheme="majorBidi"/>
          <w:b/>
          <w:bCs/>
          <w:sz w:val="24"/>
          <w:szCs w:val="24"/>
          <w:lang w:bidi="fa-IR"/>
        </w:rPr>
      </w:pPr>
      <w:r w:rsidRPr="009A0A9C">
        <w:rPr>
          <w:rFonts w:asciiTheme="majorBidi" w:eastAsia="Times New Roman" w:hAnsiTheme="majorBidi" w:cstheme="majorBidi"/>
          <w:b/>
          <w:bCs/>
          <w:sz w:val="24"/>
          <w:szCs w:val="24"/>
          <w:lang w:bidi="fa-IR"/>
        </w:rPr>
        <w:t>References</w:t>
      </w:r>
    </w:p>
    <w:p w:rsidR="008A1EFB" w:rsidRPr="002B0D50" w:rsidRDefault="008A1EFB" w:rsidP="008A1EFB">
      <w:pPr>
        <w:numPr>
          <w:ilvl w:val="0"/>
          <w:numId w:val="2"/>
        </w:numPr>
        <w:spacing w:after="0" w:line="240" w:lineRule="auto"/>
        <w:ind w:left="567" w:hanging="207"/>
        <w:jc w:val="both"/>
        <w:rPr>
          <w:rFonts w:asciiTheme="majorBidi" w:eastAsia="Times New Roman" w:hAnsiTheme="majorBidi" w:cstheme="majorBidi"/>
          <w:noProof/>
          <w:sz w:val="18"/>
          <w:szCs w:val="18"/>
        </w:rPr>
      </w:pPr>
      <w:r w:rsidRPr="002B0D50">
        <w:rPr>
          <w:rFonts w:asciiTheme="majorBidi" w:eastAsia="Times New Roman" w:hAnsiTheme="majorBidi" w:cstheme="majorBidi"/>
          <w:noProof/>
          <w:sz w:val="18"/>
          <w:szCs w:val="18"/>
        </w:rPr>
        <w:t xml:space="preserve">Mc Reynolds DC, Little RM (1990). Mandibular second premolar extraction-post retention evaluation of stability and relapse. </w:t>
      </w:r>
      <w:r w:rsidRPr="002B0D50">
        <w:rPr>
          <w:rFonts w:asciiTheme="majorBidi" w:eastAsia="Times New Roman" w:hAnsiTheme="majorBidi" w:cstheme="majorBidi"/>
          <w:i/>
          <w:noProof/>
          <w:sz w:val="18"/>
          <w:szCs w:val="18"/>
        </w:rPr>
        <w:t>Angle Orthod</w:t>
      </w:r>
      <w:r w:rsidRPr="002B0D50">
        <w:rPr>
          <w:rFonts w:asciiTheme="majorBidi" w:eastAsia="Times New Roman" w:hAnsiTheme="majorBidi" w:cstheme="majorBidi"/>
          <w:noProof/>
          <w:sz w:val="18"/>
          <w:szCs w:val="18"/>
        </w:rPr>
        <w:t>, 61(2):133-144.</w:t>
      </w:r>
    </w:p>
    <w:p w:rsidR="008A1EFB" w:rsidRPr="002B0D50" w:rsidRDefault="008A1EFB" w:rsidP="008A1EFB">
      <w:pPr>
        <w:numPr>
          <w:ilvl w:val="0"/>
          <w:numId w:val="2"/>
        </w:numPr>
        <w:spacing w:after="0" w:line="240" w:lineRule="auto"/>
        <w:ind w:left="567" w:hanging="207"/>
        <w:jc w:val="both"/>
        <w:rPr>
          <w:rFonts w:asciiTheme="majorBidi" w:eastAsia="Times New Roman" w:hAnsiTheme="majorBidi" w:cstheme="majorBidi"/>
          <w:noProof/>
          <w:sz w:val="18"/>
          <w:szCs w:val="18"/>
        </w:rPr>
      </w:pPr>
      <w:r w:rsidRPr="002B0D50">
        <w:rPr>
          <w:rFonts w:asciiTheme="majorBidi" w:eastAsia="Times New Roman" w:hAnsiTheme="majorBidi" w:cstheme="majorBidi"/>
          <w:noProof/>
          <w:sz w:val="18"/>
          <w:szCs w:val="18"/>
        </w:rPr>
        <w:t xml:space="preserve">Sadowsky C, Schneider BJ, BeGole EA, Tahir E. (1994). Long-term stability after orthodontic treatment; Non-extraction with prolonged retention. </w:t>
      </w:r>
      <w:r w:rsidRPr="002B0D50">
        <w:rPr>
          <w:rFonts w:asciiTheme="majorBidi" w:eastAsia="Times New Roman" w:hAnsiTheme="majorBidi" w:cstheme="majorBidi"/>
          <w:i/>
          <w:noProof/>
          <w:sz w:val="18"/>
          <w:szCs w:val="18"/>
        </w:rPr>
        <w:t xml:space="preserve">Am J Orthod Dentofac Orthop,94(9): </w:t>
      </w:r>
      <w:r w:rsidRPr="002B0D50">
        <w:rPr>
          <w:rFonts w:asciiTheme="majorBidi" w:eastAsia="Times New Roman" w:hAnsiTheme="majorBidi" w:cstheme="majorBidi"/>
          <w:iCs/>
          <w:noProof/>
          <w:sz w:val="18"/>
          <w:szCs w:val="18"/>
        </w:rPr>
        <w:t>243-249.</w:t>
      </w:r>
    </w:p>
    <w:p w:rsidR="008A1EFB" w:rsidRPr="002B0D50" w:rsidRDefault="008A1EFB" w:rsidP="008A1EFB">
      <w:pPr>
        <w:numPr>
          <w:ilvl w:val="0"/>
          <w:numId w:val="2"/>
        </w:numPr>
        <w:spacing w:after="0" w:line="240" w:lineRule="auto"/>
        <w:ind w:left="567" w:hanging="207"/>
        <w:jc w:val="both"/>
        <w:rPr>
          <w:rFonts w:asciiTheme="majorBidi" w:eastAsia="Times New Roman" w:hAnsiTheme="majorBidi" w:cstheme="majorBidi"/>
          <w:noProof/>
          <w:sz w:val="18"/>
          <w:szCs w:val="18"/>
          <w:lang w:bidi="fa-IR"/>
        </w:rPr>
      </w:pPr>
      <w:r w:rsidRPr="002B0D50">
        <w:rPr>
          <w:rFonts w:asciiTheme="majorBidi" w:eastAsia="Times New Roman" w:hAnsiTheme="majorBidi" w:cstheme="majorBidi"/>
          <w:noProof/>
          <w:sz w:val="18"/>
          <w:szCs w:val="18"/>
        </w:rPr>
        <w:t xml:space="preserve">Artun J, Garol JD, Little RM(1996). Long-term stability of mandibular incisors following successful treatment of Cl II div1 malocclusion. </w:t>
      </w:r>
      <w:r w:rsidRPr="002B0D50">
        <w:rPr>
          <w:rFonts w:asciiTheme="majorBidi" w:eastAsia="Times New Roman" w:hAnsiTheme="majorBidi" w:cstheme="majorBidi"/>
          <w:i/>
          <w:noProof/>
          <w:sz w:val="18"/>
          <w:szCs w:val="18"/>
        </w:rPr>
        <w:t>Angle Orthod</w:t>
      </w:r>
      <w:r w:rsidRPr="002B0D50">
        <w:rPr>
          <w:rFonts w:asciiTheme="majorBidi" w:eastAsia="Times New Roman" w:hAnsiTheme="majorBidi" w:cstheme="majorBidi"/>
          <w:noProof/>
          <w:sz w:val="18"/>
          <w:szCs w:val="18"/>
        </w:rPr>
        <w:t xml:space="preserve">, 66(3):229-238. </w:t>
      </w:r>
    </w:p>
    <w:p w:rsidR="008A1EFB" w:rsidRPr="002B0D50" w:rsidRDefault="004F1F3C" w:rsidP="008A1EFB">
      <w:pPr>
        <w:numPr>
          <w:ilvl w:val="0"/>
          <w:numId w:val="2"/>
        </w:numPr>
        <w:spacing w:after="0" w:line="240" w:lineRule="auto"/>
        <w:ind w:left="567" w:hanging="207"/>
        <w:jc w:val="both"/>
        <w:rPr>
          <w:rFonts w:asciiTheme="majorBidi" w:eastAsia="Times New Roman" w:hAnsiTheme="majorBidi" w:cstheme="majorBidi"/>
          <w:noProof/>
          <w:sz w:val="18"/>
          <w:szCs w:val="18"/>
          <w:lang w:bidi="fa-IR"/>
        </w:rPr>
      </w:pPr>
      <w:hyperlink r:id="rId6" w:history="1">
        <w:r w:rsidR="008A1EFB" w:rsidRPr="002B0D50">
          <w:rPr>
            <w:rStyle w:val="Hyperlink"/>
            <w:rFonts w:asciiTheme="majorBidi" w:eastAsia="Times New Roman" w:hAnsiTheme="majorBidi" w:cstheme="majorBidi"/>
            <w:noProof/>
            <w:color w:val="auto"/>
            <w:sz w:val="18"/>
            <w:szCs w:val="18"/>
            <w:u w:val="none"/>
          </w:rPr>
          <w:t>Shah AA</w:t>
        </w:r>
      </w:hyperlink>
      <w:r w:rsidR="008A1EFB" w:rsidRPr="002B0D50">
        <w:rPr>
          <w:rFonts w:asciiTheme="majorBidi" w:eastAsia="Times New Roman" w:hAnsiTheme="majorBidi" w:cstheme="majorBidi"/>
          <w:noProof/>
          <w:sz w:val="18"/>
          <w:szCs w:val="18"/>
        </w:rPr>
        <w:t xml:space="preserve">. (2003) Postretention changes in mandibular crowding: a review of the literature. </w:t>
      </w:r>
      <w:hyperlink r:id="rId7" w:tooltip="American journal of orthodontics and dentofacial orthopedics : official publication of the American Association of Orthodontists, its constituent societies, and the American Board of Orthodontics." w:history="1">
        <w:r w:rsidR="008A1EFB" w:rsidRPr="002B0D50">
          <w:rPr>
            <w:rStyle w:val="Hyperlink"/>
            <w:rFonts w:asciiTheme="majorBidi" w:eastAsia="Times New Roman" w:hAnsiTheme="majorBidi" w:cstheme="majorBidi"/>
            <w:i/>
            <w:iCs/>
            <w:noProof/>
            <w:color w:val="auto"/>
            <w:sz w:val="18"/>
            <w:szCs w:val="18"/>
            <w:u w:val="none"/>
          </w:rPr>
          <w:t>Am J Orthod Dentofacial Orthop</w:t>
        </w:r>
      </w:hyperlink>
      <w:r w:rsidR="008A1EFB" w:rsidRPr="002B0D50">
        <w:rPr>
          <w:rFonts w:asciiTheme="majorBidi" w:eastAsia="Times New Roman" w:hAnsiTheme="majorBidi" w:cstheme="majorBidi"/>
          <w:noProof/>
          <w:sz w:val="18"/>
          <w:szCs w:val="18"/>
        </w:rPr>
        <w:t xml:space="preserve">;124(3):298-308 </w:t>
      </w:r>
    </w:p>
    <w:p w:rsidR="008A1EFB" w:rsidRPr="002B0D50" w:rsidRDefault="004F1F3C" w:rsidP="008A1EFB">
      <w:pPr>
        <w:numPr>
          <w:ilvl w:val="0"/>
          <w:numId w:val="2"/>
        </w:numPr>
        <w:spacing w:after="0" w:line="240" w:lineRule="auto"/>
        <w:ind w:left="567" w:hanging="207"/>
        <w:jc w:val="both"/>
        <w:rPr>
          <w:rFonts w:asciiTheme="majorBidi" w:eastAsia="Times New Roman" w:hAnsiTheme="majorBidi" w:cstheme="majorBidi"/>
          <w:noProof/>
          <w:sz w:val="18"/>
          <w:szCs w:val="18"/>
          <w:lang w:bidi="fa-IR"/>
        </w:rPr>
      </w:pPr>
      <w:hyperlink r:id="rId8" w:history="1">
        <w:r w:rsidR="008A1EFB" w:rsidRPr="002B0D50">
          <w:rPr>
            <w:rStyle w:val="Hyperlink"/>
            <w:rFonts w:asciiTheme="majorBidi" w:eastAsia="Times New Roman" w:hAnsiTheme="majorBidi" w:cstheme="majorBidi"/>
            <w:noProof/>
            <w:color w:val="auto"/>
            <w:sz w:val="18"/>
            <w:szCs w:val="18"/>
            <w:u w:val="none"/>
          </w:rPr>
          <w:t>Bramante MA</w:t>
        </w:r>
      </w:hyperlink>
      <w:r w:rsidR="008A1EFB" w:rsidRPr="002B0D50">
        <w:rPr>
          <w:rFonts w:asciiTheme="majorBidi" w:eastAsia="Times New Roman" w:hAnsiTheme="majorBidi" w:cstheme="majorBidi"/>
          <w:noProof/>
          <w:sz w:val="18"/>
          <w:szCs w:val="18"/>
        </w:rPr>
        <w:t xml:space="preserve">(2000). Controversies in orthodontics. </w:t>
      </w:r>
      <w:hyperlink r:id="rId9" w:tooltip="Dental clinics of North America." w:history="1">
        <w:r w:rsidR="008A1EFB" w:rsidRPr="002B0D50">
          <w:rPr>
            <w:rStyle w:val="Hyperlink"/>
            <w:rFonts w:asciiTheme="majorBidi" w:eastAsia="Times New Roman" w:hAnsiTheme="majorBidi" w:cstheme="majorBidi"/>
            <w:i/>
            <w:iCs/>
            <w:noProof/>
            <w:color w:val="auto"/>
            <w:sz w:val="18"/>
            <w:szCs w:val="18"/>
            <w:u w:val="none"/>
          </w:rPr>
          <w:t>Dent Clin North Am,</w:t>
        </w:r>
      </w:hyperlink>
      <w:r w:rsidR="008A1EFB" w:rsidRPr="002B0D50">
        <w:rPr>
          <w:rFonts w:asciiTheme="majorBidi" w:eastAsia="Times New Roman" w:hAnsiTheme="majorBidi" w:cstheme="majorBidi"/>
          <w:noProof/>
          <w:sz w:val="18"/>
          <w:szCs w:val="18"/>
        </w:rPr>
        <w:t>34(1):91-102.</w:t>
      </w:r>
    </w:p>
    <w:p w:rsidR="008A1EFB" w:rsidRPr="002B0D50" w:rsidRDefault="008A1EFB" w:rsidP="008A1EFB">
      <w:pPr>
        <w:numPr>
          <w:ilvl w:val="0"/>
          <w:numId w:val="2"/>
        </w:numPr>
        <w:spacing w:after="0" w:line="240" w:lineRule="auto"/>
        <w:ind w:left="567" w:hanging="207"/>
        <w:contextualSpacing/>
        <w:jc w:val="both"/>
        <w:rPr>
          <w:rFonts w:asciiTheme="majorBidi" w:eastAsia="Times New Roman" w:hAnsiTheme="majorBidi" w:cstheme="majorBidi"/>
          <w:noProof/>
          <w:sz w:val="18"/>
          <w:szCs w:val="18"/>
          <w:lang w:bidi="fa-IR"/>
        </w:rPr>
      </w:pPr>
      <w:r w:rsidRPr="002B0D50">
        <w:rPr>
          <w:rFonts w:asciiTheme="majorBidi" w:eastAsia="Times New Roman" w:hAnsiTheme="majorBidi" w:cstheme="majorBidi"/>
          <w:noProof/>
          <w:sz w:val="18"/>
          <w:szCs w:val="18"/>
        </w:rPr>
        <w:t>Kuijpers-Jagtman AM (2000). Long-term stability of orthodontic treatment</w:t>
      </w:r>
      <w:r w:rsidRPr="002B0D50">
        <w:rPr>
          <w:rFonts w:asciiTheme="majorBidi" w:eastAsia="Times New Roman" w:hAnsiTheme="majorBidi" w:cstheme="majorBidi"/>
          <w:noProof/>
          <w:sz w:val="18"/>
          <w:szCs w:val="18"/>
          <w:rtl/>
        </w:rPr>
        <w:t xml:space="preserve">. </w:t>
      </w:r>
      <w:hyperlink r:id="rId10" w:tooltip="Nederlands tijdschrift voor tandheelkunde." w:history="1">
        <w:r w:rsidRPr="002B0D50">
          <w:rPr>
            <w:rStyle w:val="Hyperlink"/>
            <w:rFonts w:asciiTheme="majorBidi" w:eastAsia="Times New Roman" w:hAnsiTheme="majorBidi" w:cstheme="majorBidi"/>
            <w:i/>
            <w:iCs/>
            <w:noProof/>
            <w:color w:val="auto"/>
            <w:sz w:val="18"/>
            <w:szCs w:val="18"/>
            <w:u w:val="none"/>
          </w:rPr>
          <w:t>Ned Tijdschr Tandheelkd</w:t>
        </w:r>
      </w:hyperlink>
      <w:r w:rsidRPr="002B0D50">
        <w:rPr>
          <w:rFonts w:asciiTheme="majorBidi" w:eastAsia="Times New Roman" w:hAnsiTheme="majorBidi" w:cstheme="majorBidi"/>
          <w:i/>
          <w:iCs/>
          <w:noProof/>
          <w:sz w:val="18"/>
          <w:szCs w:val="18"/>
        </w:rPr>
        <w:t>,</w:t>
      </w:r>
      <w:r w:rsidRPr="002B0D50">
        <w:rPr>
          <w:rFonts w:asciiTheme="majorBidi" w:eastAsia="Times New Roman" w:hAnsiTheme="majorBidi" w:cstheme="majorBidi"/>
          <w:noProof/>
          <w:sz w:val="18"/>
          <w:szCs w:val="18"/>
        </w:rPr>
        <w:t xml:space="preserve"> 107(4):178-81</w:t>
      </w:r>
    </w:p>
    <w:p w:rsidR="008A1EFB" w:rsidRPr="002B0D50" w:rsidRDefault="008A1EFB" w:rsidP="008A1EFB">
      <w:pPr>
        <w:numPr>
          <w:ilvl w:val="0"/>
          <w:numId w:val="2"/>
        </w:numPr>
        <w:spacing w:after="0" w:line="240" w:lineRule="auto"/>
        <w:ind w:left="567" w:hanging="207"/>
        <w:jc w:val="both"/>
        <w:rPr>
          <w:rFonts w:asciiTheme="majorBidi" w:eastAsia="Times New Roman" w:hAnsiTheme="majorBidi" w:cstheme="majorBidi"/>
          <w:noProof/>
          <w:sz w:val="18"/>
          <w:szCs w:val="18"/>
        </w:rPr>
      </w:pPr>
      <w:r w:rsidRPr="002B0D50">
        <w:rPr>
          <w:rFonts w:asciiTheme="majorBidi" w:eastAsia="Times New Roman" w:hAnsiTheme="majorBidi" w:cstheme="majorBidi"/>
          <w:noProof/>
          <w:sz w:val="18"/>
          <w:szCs w:val="18"/>
          <w:lang w:bidi="fa-IR"/>
        </w:rPr>
        <w:t xml:space="preserve">Little R M, Wallen T R, Riedel RA (1981). Stability and relapse of mandibular anterior alignment– first premolar extraction cases treated by traditional edgewise orthodontics. </w:t>
      </w:r>
      <w:r w:rsidRPr="002B0D50">
        <w:rPr>
          <w:rFonts w:asciiTheme="majorBidi" w:eastAsia="Times New Roman" w:hAnsiTheme="majorBidi" w:cstheme="majorBidi"/>
          <w:i/>
          <w:iCs/>
          <w:noProof/>
          <w:sz w:val="18"/>
          <w:szCs w:val="18"/>
          <w:lang w:bidi="fa-IR"/>
        </w:rPr>
        <w:t>Am</w:t>
      </w:r>
      <w:r w:rsidRPr="002B0D50">
        <w:rPr>
          <w:rFonts w:asciiTheme="majorBidi" w:eastAsia="Times New Roman" w:hAnsiTheme="majorBidi" w:cstheme="majorBidi"/>
          <w:i/>
          <w:noProof/>
          <w:sz w:val="18"/>
          <w:szCs w:val="18"/>
        </w:rPr>
        <w:t xml:space="preserve"> J Orthod Dentofac Orthop,81(9): 349-365.</w:t>
      </w:r>
    </w:p>
    <w:p w:rsidR="008A1EFB" w:rsidRPr="002B0D50" w:rsidRDefault="008A1EFB" w:rsidP="008A1EFB">
      <w:pPr>
        <w:numPr>
          <w:ilvl w:val="0"/>
          <w:numId w:val="2"/>
        </w:numPr>
        <w:shd w:val="clear" w:color="auto" w:fill="FFFFFF"/>
        <w:spacing w:after="0" w:line="240" w:lineRule="auto"/>
        <w:ind w:left="567" w:hanging="207"/>
        <w:jc w:val="both"/>
        <w:rPr>
          <w:rFonts w:asciiTheme="majorBidi" w:eastAsia="Times New Roman" w:hAnsiTheme="majorBidi" w:cstheme="majorBidi"/>
          <w:sz w:val="18"/>
          <w:szCs w:val="18"/>
        </w:rPr>
      </w:pPr>
      <w:r w:rsidRPr="002B0D50">
        <w:rPr>
          <w:rFonts w:asciiTheme="majorBidi" w:eastAsia="Times New Roman" w:hAnsiTheme="majorBidi" w:cstheme="majorBidi"/>
          <w:sz w:val="18"/>
          <w:szCs w:val="18"/>
        </w:rPr>
        <w:t>Salvatore de Freitas</w:t>
      </w:r>
      <w:r w:rsidRPr="002B0D50">
        <w:rPr>
          <w:rFonts w:asciiTheme="majorBidi" w:eastAsia="Times New Roman" w:hAnsiTheme="majorBidi" w:cstheme="majorBidi"/>
          <w:sz w:val="18"/>
          <w:szCs w:val="18"/>
          <w:lang w:bidi="fa-IR"/>
        </w:rPr>
        <w:t xml:space="preserve"> KM, </w:t>
      </w:r>
      <w:r w:rsidRPr="002B0D50">
        <w:rPr>
          <w:rFonts w:asciiTheme="majorBidi" w:eastAsia="Times New Roman" w:hAnsiTheme="majorBidi" w:cstheme="majorBidi"/>
          <w:sz w:val="18"/>
          <w:szCs w:val="18"/>
        </w:rPr>
        <w:t>Roberto de Freitas</w:t>
      </w:r>
      <w:r w:rsidRPr="002B0D50">
        <w:rPr>
          <w:rFonts w:asciiTheme="majorBidi" w:eastAsia="Times New Roman" w:hAnsiTheme="majorBidi" w:cstheme="majorBidi"/>
          <w:sz w:val="18"/>
          <w:szCs w:val="18"/>
          <w:lang w:bidi="fa-IR"/>
        </w:rPr>
        <w:t xml:space="preserve">M, Janson G, Pinaz A, </w:t>
      </w:r>
      <w:r w:rsidRPr="002B0D50">
        <w:rPr>
          <w:rFonts w:asciiTheme="majorBidi" w:eastAsia="Times New Roman" w:hAnsiTheme="majorBidi" w:cstheme="majorBidi"/>
          <w:sz w:val="18"/>
          <w:szCs w:val="18"/>
        </w:rPr>
        <w:t xml:space="preserve">CastanhaHenriques J F (2006), Retrospective analysis of orthodontic treatment outcomes and its relation to post retention stability, </w:t>
      </w:r>
      <w:r w:rsidRPr="002B0D50">
        <w:rPr>
          <w:rFonts w:asciiTheme="majorBidi" w:eastAsia="Times New Roman" w:hAnsiTheme="majorBidi" w:cstheme="majorBidi"/>
          <w:i/>
          <w:iCs/>
          <w:sz w:val="18"/>
          <w:szCs w:val="18"/>
        </w:rPr>
        <w:t xml:space="preserve">J App Or Sc, </w:t>
      </w:r>
      <w:r w:rsidRPr="002B0D50">
        <w:rPr>
          <w:rFonts w:asciiTheme="majorBidi" w:eastAsia="Times New Roman" w:hAnsiTheme="majorBidi" w:cstheme="majorBidi"/>
          <w:sz w:val="18"/>
          <w:szCs w:val="18"/>
        </w:rPr>
        <w:t>14 (5): 147-156.</w:t>
      </w:r>
    </w:p>
    <w:p w:rsidR="008A1EFB" w:rsidRPr="002B0D50" w:rsidRDefault="008A1EFB" w:rsidP="008A1EFB">
      <w:pPr>
        <w:numPr>
          <w:ilvl w:val="0"/>
          <w:numId w:val="2"/>
        </w:numPr>
        <w:spacing w:after="0" w:line="240" w:lineRule="auto"/>
        <w:ind w:left="567" w:hanging="207"/>
        <w:jc w:val="both"/>
        <w:rPr>
          <w:rFonts w:asciiTheme="majorBidi" w:eastAsia="Times New Roman" w:hAnsiTheme="majorBidi" w:cstheme="majorBidi"/>
          <w:sz w:val="18"/>
          <w:szCs w:val="18"/>
        </w:rPr>
      </w:pPr>
      <w:r w:rsidRPr="002B0D50">
        <w:rPr>
          <w:rFonts w:asciiTheme="majorBidi" w:eastAsia="Times New Roman" w:hAnsiTheme="majorBidi" w:cstheme="majorBidi"/>
          <w:sz w:val="18"/>
          <w:szCs w:val="18"/>
        </w:rPr>
        <w:t>J. Ormiston, G. Huang, R. Little, J. Decker, G. Seuk (1999) Retrospective analysis of long-term stable and unstable orthodontic treatment outcomes</w:t>
      </w:r>
      <w:r w:rsidRPr="002B0D50">
        <w:rPr>
          <w:rFonts w:asciiTheme="majorBidi" w:eastAsia="Times New Roman" w:hAnsiTheme="majorBidi" w:cstheme="majorBidi"/>
          <w:sz w:val="18"/>
          <w:szCs w:val="18"/>
          <w:rtl/>
        </w:rPr>
        <w:t xml:space="preserve">. </w:t>
      </w:r>
      <w:hyperlink r:id="rId11" w:tooltip="American journal of orthodontics and dentofacial orthopedics : official publication of the American Association of Orthodontists, its constituent societies, and the American Board of Orthodontics." w:history="1">
        <w:r w:rsidRPr="002B0D50">
          <w:rPr>
            <w:rStyle w:val="Hyperlink"/>
            <w:rFonts w:asciiTheme="majorBidi" w:eastAsia="Times New Roman" w:hAnsiTheme="majorBidi" w:cstheme="majorBidi"/>
            <w:i/>
            <w:iCs/>
            <w:color w:val="auto"/>
            <w:sz w:val="18"/>
            <w:szCs w:val="18"/>
            <w:u w:val="none"/>
          </w:rPr>
          <w:t>Am J Orthod Dentofacial Orthop.</w:t>
        </w:r>
      </w:hyperlink>
      <w:r w:rsidRPr="002B0D50">
        <w:rPr>
          <w:rFonts w:asciiTheme="majorBidi" w:eastAsia="Times New Roman" w:hAnsiTheme="majorBidi" w:cstheme="majorBidi"/>
          <w:sz w:val="18"/>
          <w:szCs w:val="18"/>
        </w:rPr>
        <w:t>128</w:t>
      </w:r>
      <w:r w:rsidRPr="002B0D50">
        <w:rPr>
          <w:rFonts w:asciiTheme="majorBidi" w:eastAsia="Times New Roman" w:hAnsiTheme="majorBidi" w:cstheme="majorBidi"/>
          <w:sz w:val="18"/>
          <w:szCs w:val="18"/>
          <w:rtl/>
        </w:rPr>
        <w:t>)</w:t>
      </w:r>
      <w:r w:rsidRPr="002B0D50">
        <w:rPr>
          <w:rFonts w:asciiTheme="majorBidi" w:eastAsia="Times New Roman" w:hAnsiTheme="majorBidi" w:cstheme="majorBidi"/>
          <w:sz w:val="18"/>
          <w:szCs w:val="18"/>
        </w:rPr>
        <w:t>5</w:t>
      </w:r>
      <w:r w:rsidRPr="002B0D50">
        <w:rPr>
          <w:rFonts w:asciiTheme="majorBidi" w:eastAsia="Times New Roman" w:hAnsiTheme="majorBidi" w:cstheme="majorBidi"/>
          <w:sz w:val="18"/>
          <w:szCs w:val="18"/>
          <w:rtl/>
        </w:rPr>
        <w:t>(</w:t>
      </w:r>
      <w:r w:rsidRPr="002B0D50">
        <w:rPr>
          <w:rFonts w:asciiTheme="majorBidi" w:eastAsia="Times New Roman" w:hAnsiTheme="majorBidi" w:cstheme="majorBidi"/>
          <w:sz w:val="18"/>
          <w:szCs w:val="18"/>
        </w:rPr>
        <w:t>, 568-574</w:t>
      </w:r>
      <w:r w:rsidRPr="002B0D50">
        <w:rPr>
          <w:rFonts w:asciiTheme="majorBidi" w:eastAsia="Times New Roman" w:hAnsiTheme="majorBidi" w:cstheme="majorBidi"/>
          <w:sz w:val="18"/>
          <w:szCs w:val="18"/>
          <w:rtl/>
        </w:rPr>
        <w:t>.</w:t>
      </w:r>
    </w:p>
    <w:p w:rsidR="008A1EFB" w:rsidRPr="002B0D50" w:rsidRDefault="004F1F3C" w:rsidP="008A1EFB">
      <w:pPr>
        <w:numPr>
          <w:ilvl w:val="0"/>
          <w:numId w:val="2"/>
        </w:numPr>
        <w:spacing w:before="100" w:beforeAutospacing="1" w:after="100" w:afterAutospacing="1" w:line="240" w:lineRule="auto"/>
        <w:ind w:left="567" w:hanging="207"/>
        <w:jc w:val="both"/>
        <w:rPr>
          <w:rFonts w:asciiTheme="majorBidi" w:eastAsia="Times New Roman" w:hAnsiTheme="majorBidi" w:cstheme="majorBidi"/>
          <w:sz w:val="18"/>
          <w:szCs w:val="18"/>
        </w:rPr>
      </w:pPr>
      <w:hyperlink r:id="rId12" w:history="1">
        <w:r w:rsidR="008A1EFB" w:rsidRPr="002B0D50">
          <w:rPr>
            <w:rStyle w:val="Hyperlink"/>
            <w:rFonts w:asciiTheme="majorBidi" w:eastAsia="Times New Roman" w:hAnsiTheme="majorBidi" w:cstheme="majorBidi"/>
            <w:color w:val="auto"/>
            <w:sz w:val="18"/>
            <w:szCs w:val="18"/>
            <w:u w:val="none"/>
          </w:rPr>
          <w:t>Kahl-Nieke B</w:t>
        </w:r>
      </w:hyperlink>
      <w:r w:rsidR="008A1EFB" w:rsidRPr="002B0D50">
        <w:rPr>
          <w:rFonts w:asciiTheme="majorBidi" w:eastAsia="Times New Roman" w:hAnsiTheme="majorBidi" w:cstheme="majorBidi"/>
          <w:sz w:val="18"/>
          <w:szCs w:val="18"/>
        </w:rPr>
        <w:t xml:space="preserve">, </w:t>
      </w:r>
      <w:hyperlink r:id="rId13" w:history="1">
        <w:r w:rsidR="008A1EFB" w:rsidRPr="002B0D50">
          <w:rPr>
            <w:rStyle w:val="Hyperlink"/>
            <w:rFonts w:asciiTheme="majorBidi" w:eastAsia="Times New Roman" w:hAnsiTheme="majorBidi" w:cstheme="majorBidi"/>
            <w:color w:val="auto"/>
            <w:sz w:val="18"/>
            <w:szCs w:val="18"/>
            <w:u w:val="none"/>
          </w:rPr>
          <w:t>Fischbach H</w:t>
        </w:r>
      </w:hyperlink>
      <w:r w:rsidR="008A1EFB" w:rsidRPr="002B0D50">
        <w:rPr>
          <w:rFonts w:asciiTheme="majorBidi" w:eastAsia="Times New Roman" w:hAnsiTheme="majorBidi" w:cstheme="majorBidi"/>
          <w:sz w:val="18"/>
          <w:szCs w:val="18"/>
        </w:rPr>
        <w:t xml:space="preserve">, </w:t>
      </w:r>
      <w:hyperlink r:id="rId14" w:history="1">
        <w:r w:rsidR="008A1EFB" w:rsidRPr="002B0D50">
          <w:rPr>
            <w:rStyle w:val="Hyperlink"/>
            <w:rFonts w:asciiTheme="majorBidi" w:eastAsia="Times New Roman" w:hAnsiTheme="majorBidi" w:cstheme="majorBidi"/>
            <w:color w:val="auto"/>
            <w:sz w:val="18"/>
            <w:szCs w:val="18"/>
            <w:u w:val="none"/>
          </w:rPr>
          <w:t>Schwarze CW</w:t>
        </w:r>
      </w:hyperlink>
      <w:r w:rsidR="008A1EFB" w:rsidRPr="002B0D50">
        <w:rPr>
          <w:rFonts w:asciiTheme="majorBidi" w:eastAsia="Times New Roman" w:hAnsiTheme="majorBidi" w:cstheme="majorBidi"/>
          <w:sz w:val="18"/>
          <w:szCs w:val="18"/>
        </w:rPr>
        <w:t xml:space="preserve">.(1995) </w:t>
      </w:r>
      <w:hyperlink r:id="rId15" w:history="1">
        <w:r w:rsidR="008A1EFB" w:rsidRPr="002B0D50">
          <w:rPr>
            <w:rStyle w:val="Hyperlink"/>
            <w:rFonts w:asciiTheme="majorBidi" w:eastAsia="Times New Roman" w:hAnsiTheme="majorBidi" w:cstheme="majorBidi"/>
            <w:color w:val="auto"/>
            <w:sz w:val="18"/>
            <w:szCs w:val="18"/>
            <w:u w:val="none"/>
          </w:rPr>
          <w:t>Post-retention crowding and incisor irregularity: a long-term follow-up evaluation of stability and relapse.</w:t>
        </w:r>
      </w:hyperlink>
      <w:hyperlink r:id="rId16" w:tooltip="British journal of orthodontics." w:history="1">
        <w:r w:rsidR="008A1EFB" w:rsidRPr="002B0D50">
          <w:rPr>
            <w:rStyle w:val="Hyperlink"/>
            <w:rFonts w:asciiTheme="majorBidi" w:eastAsia="Times New Roman" w:hAnsiTheme="majorBidi" w:cstheme="majorBidi"/>
            <w:i/>
            <w:iCs/>
            <w:color w:val="auto"/>
            <w:sz w:val="18"/>
            <w:szCs w:val="18"/>
            <w:u w:val="none"/>
          </w:rPr>
          <w:t>Br J Orthod</w:t>
        </w:r>
      </w:hyperlink>
      <w:r w:rsidR="008A1EFB" w:rsidRPr="002B0D50">
        <w:rPr>
          <w:rFonts w:asciiTheme="majorBidi" w:eastAsia="Times New Roman" w:hAnsiTheme="majorBidi" w:cstheme="majorBidi"/>
          <w:sz w:val="18"/>
          <w:szCs w:val="18"/>
        </w:rPr>
        <w:t>, 22(3):249-57.</w:t>
      </w:r>
    </w:p>
    <w:p w:rsidR="008A1EFB" w:rsidRPr="002B0D50" w:rsidRDefault="008A1EFB" w:rsidP="008A1EFB">
      <w:pPr>
        <w:numPr>
          <w:ilvl w:val="0"/>
          <w:numId w:val="2"/>
        </w:numPr>
        <w:shd w:val="clear" w:color="auto" w:fill="FFFFFF"/>
        <w:spacing w:after="0" w:line="240" w:lineRule="auto"/>
        <w:ind w:left="567" w:hanging="207"/>
        <w:jc w:val="both"/>
        <w:rPr>
          <w:rFonts w:asciiTheme="majorBidi" w:eastAsia="Times New Roman" w:hAnsiTheme="majorBidi" w:cstheme="majorBidi"/>
          <w:sz w:val="18"/>
          <w:szCs w:val="18"/>
        </w:rPr>
      </w:pPr>
      <w:r w:rsidRPr="002B0D50">
        <w:rPr>
          <w:rFonts w:asciiTheme="majorBidi" w:eastAsia="Times New Roman" w:hAnsiTheme="majorBidi" w:cstheme="majorBidi"/>
          <w:sz w:val="18"/>
          <w:szCs w:val="18"/>
        </w:rPr>
        <w:t>Rossouw P E</w:t>
      </w:r>
      <w:r w:rsidRPr="002B0D50">
        <w:rPr>
          <w:rFonts w:asciiTheme="majorBidi" w:eastAsia="Times New Roman" w:hAnsiTheme="majorBidi" w:cstheme="majorBidi"/>
          <w:sz w:val="18"/>
          <w:szCs w:val="18"/>
          <w:vertAlign w:val="superscript"/>
        </w:rPr>
        <w:t xml:space="preserve">, </w:t>
      </w:r>
      <w:r w:rsidRPr="002B0D50">
        <w:rPr>
          <w:rFonts w:asciiTheme="majorBidi" w:eastAsia="Times New Roman" w:hAnsiTheme="majorBidi" w:cstheme="majorBidi"/>
          <w:sz w:val="18"/>
          <w:szCs w:val="18"/>
        </w:rPr>
        <w:t>, Preston C B, Lombard C (1999). A longitudinal evaluation of extraction versus nonextraction treatment with special reference to the posttreatment irregularity of the lower incisors.</w:t>
      </w:r>
      <w:hyperlink r:id="rId17" w:history="1">
        <w:r w:rsidRPr="002B0D50">
          <w:rPr>
            <w:rStyle w:val="Hyperlink"/>
            <w:rFonts w:asciiTheme="majorBidi" w:eastAsia="Times New Roman" w:hAnsiTheme="majorBidi" w:cstheme="majorBidi"/>
            <w:i/>
            <w:iCs/>
            <w:color w:val="auto"/>
            <w:sz w:val="18"/>
            <w:szCs w:val="18"/>
            <w:u w:val="none"/>
          </w:rPr>
          <w:t>Semin in Orthod</w:t>
        </w:r>
      </w:hyperlink>
      <w:r w:rsidRPr="002B0D50">
        <w:rPr>
          <w:rFonts w:asciiTheme="majorBidi" w:eastAsia="Times New Roman" w:hAnsiTheme="majorBidi" w:cstheme="majorBidi"/>
          <w:i/>
          <w:iCs/>
          <w:sz w:val="18"/>
          <w:szCs w:val="18"/>
        </w:rPr>
        <w:t xml:space="preserve">, </w:t>
      </w:r>
      <w:r w:rsidRPr="002B0D50">
        <w:rPr>
          <w:rFonts w:asciiTheme="majorBidi" w:eastAsia="Times New Roman" w:hAnsiTheme="majorBidi" w:cstheme="majorBidi"/>
          <w:sz w:val="18"/>
          <w:szCs w:val="18"/>
        </w:rPr>
        <w:t>(5): 160-170 .</w:t>
      </w:r>
    </w:p>
    <w:p w:rsidR="008A1EFB" w:rsidRPr="002B0D50" w:rsidRDefault="004F1F3C" w:rsidP="008A1EFB">
      <w:pPr>
        <w:numPr>
          <w:ilvl w:val="0"/>
          <w:numId w:val="2"/>
        </w:numPr>
        <w:shd w:val="clear" w:color="auto" w:fill="FFFFFF"/>
        <w:spacing w:after="0" w:line="240" w:lineRule="auto"/>
        <w:ind w:left="567" w:hanging="207"/>
        <w:jc w:val="both"/>
        <w:rPr>
          <w:rFonts w:asciiTheme="majorBidi" w:eastAsia="Times New Roman" w:hAnsiTheme="majorBidi" w:cstheme="majorBidi"/>
          <w:sz w:val="18"/>
          <w:szCs w:val="18"/>
        </w:rPr>
      </w:pPr>
      <w:hyperlink r:id="rId18" w:history="1">
        <w:r w:rsidR="008A1EFB" w:rsidRPr="002B0D50">
          <w:rPr>
            <w:rStyle w:val="Hyperlink"/>
            <w:rFonts w:asciiTheme="majorBidi" w:eastAsia="Times New Roman" w:hAnsiTheme="majorBidi" w:cstheme="majorBidi"/>
            <w:color w:val="auto"/>
            <w:sz w:val="18"/>
            <w:szCs w:val="18"/>
            <w:u w:val="none"/>
          </w:rPr>
          <w:t>O'Neill J</w:t>
        </w:r>
      </w:hyperlink>
      <w:r w:rsidR="008A1EFB" w:rsidRPr="002B0D50">
        <w:rPr>
          <w:rFonts w:asciiTheme="majorBidi" w:eastAsia="Times New Roman" w:hAnsiTheme="majorBidi" w:cstheme="majorBidi"/>
          <w:sz w:val="18"/>
          <w:szCs w:val="18"/>
        </w:rPr>
        <w:t>.</w:t>
      </w:r>
      <w:hyperlink r:id="rId19" w:history="1">
        <w:r w:rsidR="008A1EFB" w:rsidRPr="002B0D50">
          <w:rPr>
            <w:rStyle w:val="Hyperlink"/>
            <w:rFonts w:asciiTheme="majorBidi" w:eastAsia="Times New Roman" w:hAnsiTheme="majorBidi" w:cstheme="majorBidi"/>
            <w:color w:val="auto"/>
            <w:sz w:val="18"/>
            <w:szCs w:val="18"/>
            <w:u w:val="none"/>
          </w:rPr>
          <w:t>Long-term stability after orthodontic treatment remains inconclusive</w:t>
        </w:r>
      </w:hyperlink>
      <w:r w:rsidR="008A1EFB" w:rsidRPr="002B0D50">
        <w:rPr>
          <w:rFonts w:asciiTheme="majorBidi" w:eastAsia="Times New Roman" w:hAnsiTheme="majorBidi" w:cstheme="majorBidi"/>
          <w:sz w:val="18"/>
          <w:szCs w:val="18"/>
        </w:rPr>
        <w:t xml:space="preserve"> (2007). </w:t>
      </w:r>
      <w:hyperlink r:id="rId20" w:history="1">
        <w:r w:rsidR="008A1EFB" w:rsidRPr="002B0D50">
          <w:rPr>
            <w:rStyle w:val="Hyperlink"/>
            <w:rFonts w:asciiTheme="majorBidi" w:eastAsia="Times New Roman" w:hAnsiTheme="majorBidi" w:cstheme="majorBidi"/>
            <w:i/>
            <w:iCs/>
            <w:color w:val="auto"/>
            <w:sz w:val="18"/>
            <w:szCs w:val="18"/>
            <w:u w:val="none"/>
          </w:rPr>
          <w:t xml:space="preserve">Angle Orthod, 77(1):181-91. </w:t>
        </w:r>
      </w:hyperlink>
    </w:p>
    <w:p w:rsidR="008A1EFB" w:rsidRPr="002B0D50" w:rsidRDefault="008A1EFB" w:rsidP="008A1EFB">
      <w:pPr>
        <w:numPr>
          <w:ilvl w:val="0"/>
          <w:numId w:val="2"/>
        </w:numPr>
        <w:autoSpaceDE w:val="0"/>
        <w:autoSpaceDN w:val="0"/>
        <w:adjustRightInd w:val="0"/>
        <w:spacing w:after="0" w:line="240" w:lineRule="auto"/>
        <w:ind w:left="567" w:hanging="207"/>
        <w:jc w:val="both"/>
        <w:rPr>
          <w:rFonts w:asciiTheme="majorBidi" w:eastAsia="Times New Roman" w:hAnsiTheme="majorBidi" w:cstheme="majorBidi"/>
          <w:noProof/>
          <w:sz w:val="18"/>
          <w:szCs w:val="18"/>
        </w:rPr>
      </w:pPr>
      <w:r w:rsidRPr="002B0D50">
        <w:rPr>
          <w:rFonts w:asciiTheme="majorBidi" w:hAnsiTheme="majorBidi" w:cstheme="majorBidi"/>
          <w:noProof/>
          <w:sz w:val="18"/>
          <w:szCs w:val="18"/>
        </w:rPr>
        <w:lastRenderedPageBreak/>
        <w:t xml:space="preserve">Elms TN, Buschang MA, Alexander RG. (1996). Long term stability of Class II Division I nonextraction cervical face-bow therapy: 1. model analysis. </w:t>
      </w:r>
      <w:r w:rsidRPr="002B0D50">
        <w:rPr>
          <w:rFonts w:asciiTheme="majorBidi" w:hAnsiTheme="majorBidi" w:cstheme="majorBidi"/>
          <w:i/>
          <w:iCs/>
          <w:noProof/>
          <w:sz w:val="18"/>
          <w:szCs w:val="18"/>
        </w:rPr>
        <w:t>Am J Orthod Dentofacial Orthop</w:t>
      </w:r>
      <w:r w:rsidRPr="002B0D50">
        <w:rPr>
          <w:rFonts w:asciiTheme="majorBidi" w:hAnsiTheme="majorBidi" w:cstheme="majorBidi"/>
          <w:noProof/>
          <w:sz w:val="18"/>
          <w:szCs w:val="18"/>
        </w:rPr>
        <w:t>, 109:271-6.</w:t>
      </w:r>
    </w:p>
    <w:p w:rsidR="008A1EFB" w:rsidRPr="002B0D50" w:rsidRDefault="008A1EFB" w:rsidP="008A1EFB">
      <w:pPr>
        <w:numPr>
          <w:ilvl w:val="0"/>
          <w:numId w:val="2"/>
        </w:numPr>
        <w:autoSpaceDE w:val="0"/>
        <w:autoSpaceDN w:val="0"/>
        <w:adjustRightInd w:val="0"/>
        <w:spacing w:after="0" w:line="240" w:lineRule="auto"/>
        <w:ind w:left="567" w:hanging="207"/>
        <w:jc w:val="both"/>
        <w:rPr>
          <w:rFonts w:asciiTheme="majorBidi" w:eastAsia="Times New Roman" w:hAnsiTheme="majorBidi" w:cstheme="majorBidi"/>
          <w:noProof/>
          <w:sz w:val="18"/>
          <w:szCs w:val="18"/>
        </w:rPr>
      </w:pPr>
      <w:r w:rsidRPr="002B0D50">
        <w:rPr>
          <w:rFonts w:asciiTheme="majorBidi" w:hAnsiTheme="majorBidi" w:cstheme="majorBidi"/>
          <w:noProof/>
          <w:sz w:val="18"/>
          <w:szCs w:val="18"/>
        </w:rPr>
        <w:t xml:space="preserve"> Sanin C, Savara BS. Factors that affect the alignment of the mandibular incisors; a longitudinal study. (1973). </w:t>
      </w:r>
      <w:r w:rsidRPr="002B0D50">
        <w:rPr>
          <w:rFonts w:asciiTheme="majorBidi" w:hAnsiTheme="majorBidi" w:cstheme="majorBidi"/>
          <w:i/>
          <w:iCs/>
          <w:noProof/>
          <w:sz w:val="18"/>
          <w:szCs w:val="18"/>
        </w:rPr>
        <w:t>Am J Orthod,</w:t>
      </w:r>
      <w:r w:rsidRPr="002B0D50">
        <w:rPr>
          <w:rFonts w:asciiTheme="majorBidi" w:hAnsiTheme="majorBidi" w:cstheme="majorBidi"/>
          <w:noProof/>
          <w:sz w:val="18"/>
          <w:szCs w:val="18"/>
        </w:rPr>
        <w:t xml:space="preserve"> 64:248-57.</w:t>
      </w:r>
    </w:p>
    <w:p w:rsidR="008A1EFB" w:rsidRPr="002B0D50" w:rsidRDefault="008A1EFB" w:rsidP="008A1EFB">
      <w:pPr>
        <w:numPr>
          <w:ilvl w:val="0"/>
          <w:numId w:val="2"/>
        </w:numPr>
        <w:autoSpaceDE w:val="0"/>
        <w:autoSpaceDN w:val="0"/>
        <w:adjustRightInd w:val="0"/>
        <w:spacing w:after="0" w:line="240" w:lineRule="auto"/>
        <w:ind w:left="567" w:hanging="207"/>
        <w:jc w:val="both"/>
        <w:rPr>
          <w:rFonts w:asciiTheme="majorBidi" w:hAnsiTheme="majorBidi" w:cstheme="majorBidi"/>
          <w:noProof/>
          <w:sz w:val="18"/>
          <w:szCs w:val="18"/>
        </w:rPr>
      </w:pPr>
      <w:r w:rsidRPr="002B0D50">
        <w:rPr>
          <w:rFonts w:asciiTheme="majorBidi" w:hAnsiTheme="majorBidi" w:cstheme="majorBidi"/>
          <w:noProof/>
          <w:sz w:val="18"/>
          <w:szCs w:val="18"/>
        </w:rPr>
        <w:t>Park H, Boley JC, Alexander RA, Buschang PH. (2010). Age-Related Long-Term Posttreatment Occlusal and Arch Changes,</w:t>
      </w:r>
      <w:r w:rsidRPr="002B0D50">
        <w:rPr>
          <w:rFonts w:asciiTheme="majorBidi" w:hAnsiTheme="majorBidi" w:cstheme="majorBidi"/>
          <w:i/>
          <w:iCs/>
          <w:noProof/>
          <w:sz w:val="18"/>
          <w:szCs w:val="18"/>
        </w:rPr>
        <w:t>Angle Orthod</w:t>
      </w:r>
      <w:r w:rsidRPr="002B0D50">
        <w:rPr>
          <w:rFonts w:asciiTheme="majorBidi" w:hAnsiTheme="majorBidi" w:cstheme="majorBidi"/>
          <w:noProof/>
          <w:sz w:val="18"/>
          <w:szCs w:val="18"/>
        </w:rPr>
        <w:t>, 80:247–253.</w:t>
      </w:r>
    </w:p>
    <w:p w:rsidR="008A1EFB" w:rsidRPr="002B0D50" w:rsidRDefault="008A1EFB" w:rsidP="008A1EFB">
      <w:pPr>
        <w:numPr>
          <w:ilvl w:val="0"/>
          <w:numId w:val="2"/>
        </w:numPr>
        <w:shd w:val="clear" w:color="auto" w:fill="FFFFFF"/>
        <w:spacing w:after="0" w:line="240" w:lineRule="auto"/>
        <w:ind w:left="567" w:hanging="207"/>
        <w:jc w:val="both"/>
        <w:rPr>
          <w:rFonts w:asciiTheme="majorBidi" w:eastAsia="Times New Roman" w:hAnsiTheme="majorBidi" w:cstheme="majorBidi"/>
          <w:sz w:val="18"/>
          <w:szCs w:val="18"/>
          <w:lang w:val="de-DE"/>
        </w:rPr>
      </w:pPr>
      <w:r w:rsidRPr="002B0D50">
        <w:rPr>
          <w:rFonts w:asciiTheme="majorBidi" w:eastAsia="Times New Roman" w:hAnsiTheme="majorBidi" w:cstheme="majorBidi"/>
          <w:sz w:val="18"/>
          <w:szCs w:val="18"/>
        </w:rPr>
        <w:t xml:space="preserve">ThuerUrs, Ingervall B (1986). Pressure from the lips on the teeth and malocclusion. </w:t>
      </w:r>
      <w:hyperlink r:id="rId21" w:tooltip="American journal of orthodontics and dentofacial orthopedics : official publication of the American Association of Orthodontists, its constituent societies, and the American Board of Orthodontics." w:history="1">
        <w:r w:rsidRPr="002B0D50">
          <w:rPr>
            <w:rStyle w:val="Hyperlink"/>
            <w:rFonts w:asciiTheme="majorBidi" w:eastAsia="Times New Roman" w:hAnsiTheme="majorBidi" w:cstheme="majorBidi"/>
            <w:i/>
            <w:iCs/>
            <w:color w:val="auto"/>
            <w:sz w:val="18"/>
            <w:szCs w:val="18"/>
            <w:u w:val="none"/>
          </w:rPr>
          <w:t>Am J Orthod Dentofacial Orthop,</w:t>
        </w:r>
      </w:hyperlink>
      <w:r w:rsidRPr="002B0D50">
        <w:rPr>
          <w:rFonts w:asciiTheme="majorBidi" w:eastAsia="Times New Roman" w:hAnsiTheme="majorBidi" w:cstheme="majorBidi"/>
          <w:sz w:val="18"/>
          <w:szCs w:val="18"/>
        </w:rPr>
        <w:t xml:space="preserve"> 90</w:t>
      </w:r>
      <w:r w:rsidRPr="002B0D50">
        <w:rPr>
          <w:rFonts w:asciiTheme="majorBidi" w:eastAsia="Times New Roman" w:hAnsiTheme="majorBidi" w:cstheme="majorBidi"/>
          <w:sz w:val="18"/>
          <w:szCs w:val="18"/>
          <w:rtl/>
        </w:rPr>
        <w:t>)</w:t>
      </w:r>
      <w:r w:rsidRPr="002B0D50">
        <w:rPr>
          <w:rFonts w:asciiTheme="majorBidi" w:eastAsia="Times New Roman" w:hAnsiTheme="majorBidi" w:cstheme="majorBidi"/>
          <w:sz w:val="18"/>
          <w:szCs w:val="18"/>
        </w:rPr>
        <w:t>3</w:t>
      </w:r>
      <w:r w:rsidRPr="002B0D50">
        <w:rPr>
          <w:rFonts w:asciiTheme="majorBidi" w:eastAsia="Times New Roman" w:hAnsiTheme="majorBidi" w:cstheme="majorBidi"/>
          <w:sz w:val="18"/>
          <w:szCs w:val="18"/>
          <w:rtl/>
        </w:rPr>
        <w:t>(</w:t>
      </w:r>
      <w:r w:rsidRPr="002B0D50">
        <w:rPr>
          <w:rFonts w:asciiTheme="majorBidi" w:eastAsia="Times New Roman" w:hAnsiTheme="majorBidi" w:cstheme="majorBidi"/>
          <w:sz w:val="18"/>
          <w:szCs w:val="18"/>
        </w:rPr>
        <w:t>: 234-242</w:t>
      </w:r>
      <w:r w:rsidRPr="002B0D50">
        <w:rPr>
          <w:rFonts w:asciiTheme="majorBidi" w:eastAsia="Times New Roman" w:hAnsiTheme="majorBidi" w:cstheme="majorBidi"/>
          <w:sz w:val="18"/>
          <w:szCs w:val="18"/>
          <w:rtl/>
        </w:rPr>
        <w:t>.</w:t>
      </w:r>
    </w:p>
    <w:p w:rsidR="008A1EFB" w:rsidRPr="002B0D50" w:rsidRDefault="004F1F3C" w:rsidP="008A1EFB">
      <w:pPr>
        <w:numPr>
          <w:ilvl w:val="0"/>
          <w:numId w:val="2"/>
        </w:numPr>
        <w:shd w:val="clear" w:color="auto" w:fill="FFFFFF"/>
        <w:spacing w:before="100" w:beforeAutospacing="1" w:after="100" w:afterAutospacing="1" w:line="240" w:lineRule="auto"/>
        <w:ind w:left="567" w:hanging="207"/>
        <w:jc w:val="both"/>
        <w:rPr>
          <w:rFonts w:asciiTheme="majorBidi" w:eastAsia="Times New Roman" w:hAnsiTheme="majorBidi" w:cstheme="majorBidi"/>
          <w:sz w:val="18"/>
          <w:szCs w:val="18"/>
        </w:rPr>
      </w:pPr>
      <w:hyperlink r:id="rId22" w:history="1">
        <w:r w:rsidR="008A1EFB" w:rsidRPr="002B0D50">
          <w:rPr>
            <w:rStyle w:val="Hyperlink"/>
            <w:rFonts w:asciiTheme="majorBidi" w:eastAsia="Times New Roman" w:hAnsiTheme="majorBidi" w:cstheme="majorBidi"/>
            <w:color w:val="auto"/>
            <w:sz w:val="18"/>
            <w:szCs w:val="18"/>
            <w:u w:val="none"/>
          </w:rPr>
          <w:t>Palomo JM</w:t>
        </w:r>
      </w:hyperlink>
      <w:r w:rsidR="008A1EFB" w:rsidRPr="002B0D50">
        <w:rPr>
          <w:rFonts w:asciiTheme="majorBidi" w:eastAsia="Times New Roman" w:hAnsiTheme="majorBidi" w:cstheme="majorBidi"/>
          <w:sz w:val="18"/>
          <w:szCs w:val="18"/>
        </w:rPr>
        <w:t xml:space="preserve">, </w:t>
      </w:r>
      <w:hyperlink r:id="rId23" w:history="1">
        <w:r w:rsidR="008A1EFB" w:rsidRPr="002B0D50">
          <w:rPr>
            <w:rStyle w:val="Hyperlink"/>
            <w:rFonts w:asciiTheme="majorBidi" w:eastAsia="Times New Roman" w:hAnsiTheme="majorBidi" w:cstheme="majorBidi"/>
            <w:color w:val="auto"/>
            <w:sz w:val="18"/>
            <w:szCs w:val="18"/>
            <w:u w:val="none"/>
          </w:rPr>
          <w:t>Hunt DW Jr</w:t>
        </w:r>
      </w:hyperlink>
      <w:r w:rsidR="008A1EFB" w:rsidRPr="002B0D50">
        <w:rPr>
          <w:rFonts w:asciiTheme="majorBidi" w:eastAsia="Times New Roman" w:hAnsiTheme="majorBidi" w:cstheme="majorBidi"/>
          <w:sz w:val="18"/>
          <w:szCs w:val="18"/>
        </w:rPr>
        <w:t xml:space="preserve">, </w:t>
      </w:r>
      <w:hyperlink r:id="rId24" w:history="1">
        <w:r w:rsidR="008A1EFB" w:rsidRPr="002B0D50">
          <w:rPr>
            <w:rStyle w:val="Hyperlink"/>
            <w:rFonts w:asciiTheme="majorBidi" w:eastAsia="Times New Roman" w:hAnsiTheme="majorBidi" w:cstheme="majorBidi"/>
            <w:color w:val="auto"/>
            <w:sz w:val="18"/>
            <w:szCs w:val="18"/>
            <w:u w:val="none"/>
          </w:rPr>
          <w:t>Hans MG</w:t>
        </w:r>
      </w:hyperlink>
      <w:r w:rsidR="008A1EFB" w:rsidRPr="002B0D50">
        <w:rPr>
          <w:rFonts w:asciiTheme="majorBidi" w:eastAsia="Times New Roman" w:hAnsiTheme="majorBidi" w:cstheme="majorBidi"/>
          <w:sz w:val="18"/>
          <w:szCs w:val="18"/>
        </w:rPr>
        <w:t xml:space="preserve">, </w:t>
      </w:r>
      <w:hyperlink r:id="rId25" w:history="1">
        <w:r w:rsidR="008A1EFB" w:rsidRPr="002B0D50">
          <w:rPr>
            <w:rStyle w:val="Hyperlink"/>
            <w:rFonts w:asciiTheme="majorBidi" w:eastAsia="Times New Roman" w:hAnsiTheme="majorBidi" w:cstheme="majorBidi"/>
            <w:color w:val="auto"/>
            <w:sz w:val="18"/>
            <w:szCs w:val="18"/>
            <w:u w:val="none"/>
          </w:rPr>
          <w:t>Broadbent BH Jr</w:t>
        </w:r>
      </w:hyperlink>
      <w:r w:rsidR="008A1EFB" w:rsidRPr="002B0D50">
        <w:rPr>
          <w:rFonts w:asciiTheme="majorBidi" w:eastAsia="Times New Roman" w:hAnsiTheme="majorBidi" w:cstheme="majorBidi"/>
          <w:sz w:val="18"/>
          <w:szCs w:val="18"/>
        </w:rPr>
        <w:t xml:space="preserve"> (2005). A longitudinal 3-dimensional size and shape comparison of untreated Class I and Class II subjects. </w:t>
      </w:r>
      <w:hyperlink r:id="rId26" w:tooltip="American journal of orthodontics and dentofacial orthopedics : official publication of the American Association of Orthodontists, its constituent societies, and the American Board of Orthodontics." w:history="1">
        <w:r w:rsidR="008A1EFB" w:rsidRPr="002B0D50">
          <w:rPr>
            <w:rStyle w:val="Hyperlink"/>
            <w:rFonts w:asciiTheme="majorBidi" w:eastAsia="Times New Roman" w:hAnsiTheme="majorBidi" w:cstheme="majorBidi"/>
            <w:i/>
            <w:iCs/>
            <w:color w:val="auto"/>
            <w:sz w:val="18"/>
            <w:szCs w:val="18"/>
            <w:u w:val="none"/>
          </w:rPr>
          <w:t>Am J Orthod Dentofacial Orthop</w:t>
        </w:r>
      </w:hyperlink>
      <w:r w:rsidR="008A1EFB" w:rsidRPr="002B0D50">
        <w:rPr>
          <w:rFonts w:asciiTheme="majorBidi" w:eastAsia="Times New Roman" w:hAnsiTheme="majorBidi" w:cstheme="majorBidi"/>
          <w:i/>
          <w:iCs/>
          <w:sz w:val="18"/>
          <w:szCs w:val="18"/>
        </w:rPr>
        <w:t>,</w:t>
      </w:r>
      <w:r w:rsidR="008A1EFB" w:rsidRPr="002B0D50">
        <w:rPr>
          <w:rFonts w:asciiTheme="majorBidi" w:eastAsia="Times New Roman" w:hAnsiTheme="majorBidi" w:cstheme="majorBidi"/>
          <w:sz w:val="18"/>
          <w:szCs w:val="18"/>
        </w:rPr>
        <w:t>127(5):584-91.</w:t>
      </w:r>
    </w:p>
    <w:p w:rsidR="008A1EFB" w:rsidRPr="002B0D50" w:rsidRDefault="008A1EFB" w:rsidP="008A1EFB">
      <w:pPr>
        <w:numPr>
          <w:ilvl w:val="0"/>
          <w:numId w:val="2"/>
        </w:numPr>
        <w:shd w:val="clear" w:color="auto" w:fill="FFFFFF"/>
        <w:spacing w:after="0" w:line="240" w:lineRule="auto"/>
        <w:ind w:left="567" w:hanging="207"/>
        <w:jc w:val="both"/>
        <w:rPr>
          <w:rFonts w:asciiTheme="majorBidi" w:eastAsia="Times New Roman" w:hAnsiTheme="majorBidi" w:cstheme="majorBidi"/>
          <w:sz w:val="18"/>
          <w:szCs w:val="18"/>
          <w:lang w:val="de-DE"/>
        </w:rPr>
      </w:pPr>
      <w:r w:rsidRPr="002B0D50">
        <w:rPr>
          <w:rFonts w:asciiTheme="majorBidi" w:eastAsia="Times New Roman" w:hAnsiTheme="majorBidi" w:cstheme="majorBidi"/>
          <w:kern w:val="36"/>
          <w:sz w:val="18"/>
          <w:szCs w:val="18"/>
        </w:rPr>
        <w:t xml:space="preserve">Buschang PH, Stroud J, Alexander R.G (1994). Differences in dental arch morphology among adult females with untreated Class I and Class II malocclusion. </w:t>
      </w:r>
      <w:r w:rsidRPr="002B0D50">
        <w:rPr>
          <w:rFonts w:asciiTheme="majorBidi" w:eastAsia="Times New Roman" w:hAnsiTheme="majorBidi" w:cstheme="majorBidi"/>
          <w:i/>
          <w:iCs/>
          <w:kern w:val="36"/>
          <w:sz w:val="18"/>
          <w:szCs w:val="18"/>
        </w:rPr>
        <w:t>Eur J Ortho</w:t>
      </w:r>
      <w:r w:rsidRPr="002B0D50">
        <w:rPr>
          <w:rFonts w:asciiTheme="majorBidi" w:eastAsia="Times New Roman" w:hAnsiTheme="majorBidi" w:cstheme="majorBidi"/>
          <w:kern w:val="36"/>
          <w:sz w:val="18"/>
          <w:szCs w:val="18"/>
        </w:rPr>
        <w:t>, 16 (1): 47-52.</w:t>
      </w:r>
    </w:p>
    <w:p w:rsidR="008A1EFB" w:rsidRPr="002B0D50" w:rsidRDefault="008A1EFB" w:rsidP="008A1EFB">
      <w:pPr>
        <w:numPr>
          <w:ilvl w:val="0"/>
          <w:numId w:val="2"/>
        </w:numPr>
        <w:autoSpaceDE w:val="0"/>
        <w:autoSpaceDN w:val="0"/>
        <w:adjustRightInd w:val="0"/>
        <w:spacing w:after="0" w:line="240" w:lineRule="auto"/>
        <w:ind w:left="567" w:hanging="207"/>
        <w:jc w:val="both"/>
        <w:rPr>
          <w:rFonts w:asciiTheme="majorBidi" w:eastAsia="Times New Roman" w:hAnsiTheme="majorBidi" w:cstheme="majorBidi"/>
          <w:noProof/>
          <w:sz w:val="18"/>
          <w:szCs w:val="18"/>
        </w:rPr>
      </w:pPr>
      <w:r w:rsidRPr="002B0D50">
        <w:rPr>
          <w:rFonts w:asciiTheme="majorBidi" w:hAnsiTheme="majorBidi" w:cstheme="majorBidi"/>
          <w:noProof/>
          <w:sz w:val="18"/>
          <w:szCs w:val="18"/>
        </w:rPr>
        <w:t xml:space="preserve">Blake M, Bibby K. (1998). Retention and stability: A review of the literature , </w:t>
      </w:r>
      <w:r w:rsidRPr="002B0D50">
        <w:rPr>
          <w:rFonts w:asciiTheme="majorBidi" w:hAnsiTheme="majorBidi" w:cstheme="majorBidi"/>
          <w:i/>
          <w:iCs/>
          <w:noProof/>
          <w:sz w:val="18"/>
          <w:szCs w:val="18"/>
        </w:rPr>
        <w:t>Am J Orthod Dentofacial Orthop</w:t>
      </w:r>
      <w:r w:rsidRPr="002B0D50">
        <w:rPr>
          <w:rFonts w:asciiTheme="majorBidi" w:hAnsiTheme="majorBidi" w:cstheme="majorBidi"/>
          <w:noProof/>
          <w:sz w:val="18"/>
          <w:szCs w:val="18"/>
        </w:rPr>
        <w:t>,114:299-306.</w:t>
      </w:r>
    </w:p>
    <w:p w:rsidR="001F1A86" w:rsidRPr="002B0D50" w:rsidRDefault="008A1EFB" w:rsidP="008A1EFB">
      <w:pPr>
        <w:numPr>
          <w:ilvl w:val="0"/>
          <w:numId w:val="2"/>
        </w:numPr>
        <w:shd w:val="clear" w:color="auto" w:fill="FFFFFF"/>
        <w:autoSpaceDE w:val="0"/>
        <w:autoSpaceDN w:val="0"/>
        <w:adjustRightInd w:val="0"/>
        <w:spacing w:after="100" w:afterAutospacing="1" w:line="240" w:lineRule="auto"/>
        <w:ind w:left="567" w:hanging="207"/>
        <w:jc w:val="both"/>
        <w:rPr>
          <w:rFonts w:asciiTheme="majorBidi" w:eastAsia="Times New Roman" w:hAnsiTheme="majorBidi" w:cstheme="majorBidi"/>
          <w:noProof/>
          <w:sz w:val="18"/>
          <w:szCs w:val="18"/>
        </w:rPr>
      </w:pPr>
      <w:r w:rsidRPr="002B0D50">
        <w:rPr>
          <w:rFonts w:asciiTheme="majorBidi" w:hAnsiTheme="majorBidi" w:cstheme="majorBidi"/>
          <w:noProof/>
          <w:sz w:val="18"/>
          <w:szCs w:val="18"/>
        </w:rPr>
        <w:t>Blake M , Bibby K. (1998). Retention and stability: A review of the literature,</w:t>
      </w:r>
      <w:r w:rsidRPr="002B0D50">
        <w:rPr>
          <w:rFonts w:asciiTheme="majorBidi" w:hAnsiTheme="majorBidi" w:cstheme="majorBidi"/>
          <w:i/>
          <w:iCs/>
          <w:noProof/>
          <w:sz w:val="18"/>
          <w:szCs w:val="18"/>
        </w:rPr>
        <w:t xml:space="preserve"> Am J Orthod Dentofacial Orthop</w:t>
      </w:r>
      <w:r w:rsidRPr="002B0D50">
        <w:rPr>
          <w:rFonts w:asciiTheme="majorBidi" w:hAnsiTheme="majorBidi" w:cstheme="majorBidi"/>
          <w:noProof/>
          <w:sz w:val="18"/>
          <w:szCs w:val="18"/>
        </w:rPr>
        <w:t>,114:299-306.</w:t>
      </w:r>
    </w:p>
    <w:sectPr w:rsidR="001F1A86" w:rsidRPr="002B0D50" w:rsidSect="004C559B">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tr">
    <w:panose1 w:val="00000700000000000000"/>
    <w:charset w:val="B2"/>
    <w:family w:val="auto"/>
    <w:pitch w:val="variable"/>
    <w:sig w:usb0="00002001" w:usb1="80000000" w:usb2="00000008" w:usb3="00000000" w:csb0="00000040"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B Lotus">
    <w:altName w:val="Courier New"/>
    <w:charset w:val="B2"/>
    <w:family w:val="auto"/>
    <w:pitch w:val="variable"/>
    <w:sig w:usb0="00002000" w:usb1="80000000" w:usb2="00000008" w:usb3="00000000" w:csb0="00000040" w:csb1="00000000"/>
  </w:font>
  <w:font w:name="B Nazanin">
    <w:altName w:val="Courier New"/>
    <w:charset w:val="B2"/>
    <w:family w:val="auto"/>
    <w:pitch w:val="variable"/>
    <w:sig w:usb0="00002000"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DB53A3"/>
    <w:multiLevelType w:val="hybridMultilevel"/>
    <w:tmpl w:val="7EB69FCE"/>
    <w:lvl w:ilvl="0" w:tplc="8114736C">
      <w:start w:val="1"/>
      <w:numFmt w:val="decimal"/>
      <w:lvlText w:val="%1-"/>
      <w:lvlJc w:val="left"/>
      <w:pPr>
        <w:ind w:left="720" w:hanging="360"/>
      </w:pPr>
      <w:rPr>
        <w:rFonts w:cs="Times New Roman"/>
        <w:b/>
        <w:sz w:val="29"/>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compat>
    <w:compatSetting w:name="compatibilityMode" w:uri="http://schemas.microsoft.com/office/word" w:val="12"/>
  </w:compat>
  <w:rsids>
    <w:rsidRoot w:val="008A1EFB"/>
    <w:rsid w:val="001E634E"/>
    <w:rsid w:val="001F1A86"/>
    <w:rsid w:val="002B0D50"/>
    <w:rsid w:val="00386AD1"/>
    <w:rsid w:val="00394F8A"/>
    <w:rsid w:val="003D10DC"/>
    <w:rsid w:val="004C559B"/>
    <w:rsid w:val="004F1F3C"/>
    <w:rsid w:val="00597340"/>
    <w:rsid w:val="008908CD"/>
    <w:rsid w:val="008A1EFB"/>
    <w:rsid w:val="009A0A9C"/>
    <w:rsid w:val="00C32BBE"/>
    <w:rsid w:val="00C669EA"/>
    <w:rsid w:val="00F724AB"/>
    <w:rsid w:val="00F962BD"/>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1EFB"/>
    <w:rPr>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A1EFB"/>
    <w:rPr>
      <w:color w:val="0000FF" w:themeColor="hyperlink"/>
      <w:u w:val="single"/>
    </w:rPr>
  </w:style>
  <w:style w:type="paragraph" w:styleId="BodyText">
    <w:name w:val="Body Text"/>
    <w:basedOn w:val="Normal"/>
    <w:link w:val="BodyTextChar"/>
    <w:semiHidden/>
    <w:unhideWhenUsed/>
    <w:rsid w:val="008A1EFB"/>
    <w:pPr>
      <w:widowControl w:val="0"/>
      <w:bidi/>
      <w:snapToGrid w:val="0"/>
      <w:spacing w:after="0" w:line="240" w:lineRule="auto"/>
      <w:jc w:val="center"/>
    </w:pPr>
    <w:rPr>
      <w:rFonts w:ascii="Times New Roman" w:eastAsia="Times New Roman" w:hAnsi="Times New Roman" w:cs="Titr"/>
      <w:b/>
      <w:bCs/>
      <w:sz w:val="24"/>
      <w:szCs w:val="36"/>
    </w:rPr>
  </w:style>
  <w:style w:type="character" w:customStyle="1" w:styleId="BodyTextChar">
    <w:name w:val="Body Text Char"/>
    <w:basedOn w:val="DefaultParagraphFont"/>
    <w:link w:val="BodyText"/>
    <w:semiHidden/>
    <w:rsid w:val="008A1EFB"/>
    <w:rPr>
      <w:rFonts w:ascii="Times New Roman" w:eastAsia="Times New Roman" w:hAnsi="Times New Roman" w:cs="Titr"/>
      <w:b/>
      <w:bCs/>
      <w:sz w:val="24"/>
      <w:szCs w:val="36"/>
      <w:lang w:bidi="ar-SA"/>
    </w:rPr>
  </w:style>
  <w:style w:type="paragraph" w:styleId="ListParagraph">
    <w:name w:val="List Paragraph"/>
    <w:basedOn w:val="Normal"/>
    <w:uiPriority w:val="34"/>
    <w:qFormat/>
    <w:rsid w:val="008A1EFB"/>
    <w:pPr>
      <w:bidi/>
      <w:spacing w:after="0" w:line="240" w:lineRule="auto"/>
      <w:ind w:left="720"/>
    </w:pPr>
    <w:rPr>
      <w:rFonts w:ascii="Times New Roman" w:eastAsia="Times New Roman" w:hAnsi="Times New Roman" w:cs="Traditional Arabic"/>
      <w:noProof/>
      <w:sz w:val="20"/>
      <w:szCs w:val="20"/>
    </w:rPr>
  </w:style>
  <w:style w:type="paragraph" w:styleId="BalloonText">
    <w:name w:val="Balloon Text"/>
    <w:basedOn w:val="Normal"/>
    <w:link w:val="BalloonTextChar"/>
    <w:uiPriority w:val="99"/>
    <w:semiHidden/>
    <w:unhideWhenUsed/>
    <w:rsid w:val="002B0D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0D50"/>
    <w:rPr>
      <w:rFonts w:ascii="Tahoma" w:hAnsi="Tahoma" w:cs="Tahoma"/>
      <w:sz w:val="16"/>
      <w:szCs w:val="16"/>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1EFB"/>
    <w:rPr>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A1EFB"/>
    <w:rPr>
      <w:color w:val="0000FF" w:themeColor="hyperlink"/>
      <w:u w:val="single"/>
    </w:rPr>
  </w:style>
  <w:style w:type="paragraph" w:styleId="BodyText">
    <w:name w:val="Body Text"/>
    <w:basedOn w:val="Normal"/>
    <w:link w:val="BodyTextChar"/>
    <w:semiHidden/>
    <w:unhideWhenUsed/>
    <w:rsid w:val="008A1EFB"/>
    <w:pPr>
      <w:widowControl w:val="0"/>
      <w:bidi/>
      <w:snapToGrid w:val="0"/>
      <w:spacing w:after="0" w:line="240" w:lineRule="auto"/>
      <w:jc w:val="center"/>
    </w:pPr>
    <w:rPr>
      <w:rFonts w:ascii="Times New Roman" w:eastAsia="Times New Roman" w:hAnsi="Times New Roman" w:cs="Titr"/>
      <w:b/>
      <w:bCs/>
      <w:sz w:val="24"/>
      <w:szCs w:val="36"/>
    </w:rPr>
  </w:style>
  <w:style w:type="character" w:customStyle="1" w:styleId="BodyTextChar">
    <w:name w:val="Body Text Char"/>
    <w:basedOn w:val="DefaultParagraphFont"/>
    <w:link w:val="BodyText"/>
    <w:semiHidden/>
    <w:rsid w:val="008A1EFB"/>
    <w:rPr>
      <w:rFonts w:ascii="Times New Roman" w:eastAsia="Times New Roman" w:hAnsi="Times New Roman" w:cs="Titr"/>
      <w:b/>
      <w:bCs/>
      <w:sz w:val="24"/>
      <w:szCs w:val="36"/>
      <w:lang w:bidi="ar-SA"/>
    </w:rPr>
  </w:style>
  <w:style w:type="paragraph" w:styleId="ListParagraph">
    <w:name w:val="List Paragraph"/>
    <w:basedOn w:val="Normal"/>
    <w:uiPriority w:val="34"/>
    <w:qFormat/>
    <w:rsid w:val="008A1EFB"/>
    <w:pPr>
      <w:bidi/>
      <w:spacing w:after="0" w:line="240" w:lineRule="auto"/>
      <w:ind w:left="720"/>
    </w:pPr>
    <w:rPr>
      <w:rFonts w:ascii="Times New Roman" w:eastAsia="Times New Roman" w:hAnsi="Times New Roman" w:cs="Traditional Arabic"/>
      <w:noProof/>
      <w:sz w:val="20"/>
      <w:szCs w:val="20"/>
    </w:rPr>
  </w:style>
  <w:style w:type="paragraph" w:styleId="BalloonText">
    <w:name w:val="Balloon Text"/>
    <w:basedOn w:val="Normal"/>
    <w:link w:val="BalloonTextChar"/>
    <w:uiPriority w:val="99"/>
    <w:semiHidden/>
    <w:unhideWhenUsed/>
    <w:rsid w:val="002B0D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0D50"/>
    <w:rPr>
      <w:rFonts w:ascii="Tahoma" w:hAnsi="Tahoma" w:cs="Tahoma"/>
      <w:sz w:val="16"/>
      <w:szCs w:val="1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4956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pubmed?term=%22Bramante%20MA%22%5BAuthor%5D" TargetMode="External"/><Relationship Id="rId13" Type="http://schemas.openxmlformats.org/officeDocument/2006/relationships/hyperlink" Target="http://www.ncbi.nlm.nih.gov/pubmed?term=%22Fischbach%20H%22%5BAuthor%5D" TargetMode="External"/><Relationship Id="rId18" Type="http://schemas.openxmlformats.org/officeDocument/2006/relationships/hyperlink" Target="http://www.ncbi.nlm.nih.gov/pubmed?term=%22O'Neill%20J%22%5BAuthor%5D" TargetMode="External"/><Relationship Id="rId26" Type="http://schemas.openxmlformats.org/officeDocument/2006/relationships/hyperlink" Target="javascript:AL_get(this,%20'jour',%20'Am%20J%20Orthod%20Dentofacial%20Orthop.');" TargetMode="External"/><Relationship Id="rId3" Type="http://schemas.microsoft.com/office/2007/relationships/stylesWithEffects" Target="stylesWithEffects.xml"/><Relationship Id="rId21" Type="http://schemas.openxmlformats.org/officeDocument/2006/relationships/hyperlink" Target="javascript:AL_get(this,%20'jour',%20'Am%20J%20Orthod%20Dentofacial%20Orthop.');" TargetMode="External"/><Relationship Id="rId7" Type="http://schemas.openxmlformats.org/officeDocument/2006/relationships/hyperlink" Target="javascript:AL_get(this,%20'jour',%20'Am%20J%20Orthod%20Dentofacial%20Orthop.');" TargetMode="External"/><Relationship Id="rId12" Type="http://schemas.openxmlformats.org/officeDocument/2006/relationships/hyperlink" Target="http://www.ncbi.nlm.nih.gov/pubmed?term=%22Kahl-Nieke%20B%22%5BAuthor%5D" TargetMode="External"/><Relationship Id="rId17" Type="http://schemas.openxmlformats.org/officeDocument/2006/relationships/hyperlink" Target="http://www.sciencedirect.com/science/journal/10738746" TargetMode="External"/><Relationship Id="rId25" Type="http://schemas.openxmlformats.org/officeDocument/2006/relationships/hyperlink" Target="http://www.ncbi.nlm.nih.gov/pubmed?term=%22Broadbent%20BH%20Jr%22%5BAuthor%5D" TargetMode="External"/><Relationship Id="rId2" Type="http://schemas.openxmlformats.org/officeDocument/2006/relationships/styles" Target="styles.xml"/><Relationship Id="rId16" Type="http://schemas.openxmlformats.org/officeDocument/2006/relationships/hyperlink" Target="javascript:AL_get(this,%20'jour',%20'Br%20J%20Orthod.');" TargetMode="External"/><Relationship Id="rId20" Type="http://schemas.openxmlformats.org/officeDocument/2006/relationships/hyperlink" Target="http://www.ncbi.nlm.nih.gov/pubmed/17029533" TargetMode="External"/><Relationship Id="rId1" Type="http://schemas.openxmlformats.org/officeDocument/2006/relationships/numbering" Target="numbering.xml"/><Relationship Id="rId6" Type="http://schemas.openxmlformats.org/officeDocument/2006/relationships/hyperlink" Target="http://www.ncbi.nlm.nih.gov/pubmed?term=%22Shah%20AA%22%5BAuthor%5D" TargetMode="External"/><Relationship Id="rId11" Type="http://schemas.openxmlformats.org/officeDocument/2006/relationships/hyperlink" Target="javascript:AL_get(this,%20'jour',%20'Am%20J%20Orthod%20Dentofacial%20Orthop.');" TargetMode="External"/><Relationship Id="rId24" Type="http://schemas.openxmlformats.org/officeDocument/2006/relationships/hyperlink" Target="http://www.ncbi.nlm.nih.gov/pubmed?term=%22Hans%20MG%22%5BAuthor%5D" TargetMode="External"/><Relationship Id="rId5" Type="http://schemas.openxmlformats.org/officeDocument/2006/relationships/webSettings" Target="webSettings.xml"/><Relationship Id="rId15" Type="http://schemas.openxmlformats.org/officeDocument/2006/relationships/hyperlink" Target="http://www.ncbi.nlm.nih.gov/pubmed/7577875" TargetMode="External"/><Relationship Id="rId23" Type="http://schemas.openxmlformats.org/officeDocument/2006/relationships/hyperlink" Target="http://www.ncbi.nlm.nih.gov/pubmed?term=%22Hunt%20DW%20Jr%22%5BAuthor%5D" TargetMode="External"/><Relationship Id="rId28" Type="http://schemas.openxmlformats.org/officeDocument/2006/relationships/theme" Target="theme/theme1.xml"/><Relationship Id="rId10" Type="http://schemas.openxmlformats.org/officeDocument/2006/relationships/hyperlink" Target="javascript:AL_get(this,%20'jour',%20'Ned%20Tijdschr%20Tandheelkd.');" TargetMode="External"/><Relationship Id="rId19" Type="http://schemas.openxmlformats.org/officeDocument/2006/relationships/hyperlink" Target="http://www.ncbi.nlm.nih.gov/pubmed/17891125" TargetMode="External"/><Relationship Id="rId4" Type="http://schemas.openxmlformats.org/officeDocument/2006/relationships/settings" Target="settings.xml"/><Relationship Id="rId9" Type="http://schemas.openxmlformats.org/officeDocument/2006/relationships/hyperlink" Target="javascript:AL_get(this,%20'jour',%20'Dent%20Clin%20North%20Am.');" TargetMode="External"/><Relationship Id="rId14" Type="http://schemas.openxmlformats.org/officeDocument/2006/relationships/hyperlink" Target="http://www.ncbi.nlm.nih.gov/pubmed?term=%22Schwarze%20CW%22%5BAuthor%5D" TargetMode="External"/><Relationship Id="rId22" Type="http://schemas.openxmlformats.org/officeDocument/2006/relationships/hyperlink" Target="http://www.ncbi.nlm.nih.gov/pubmed?term=%22Palomo%20JM%22%5BAuthor%5D"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9</Pages>
  <Words>3283</Words>
  <Characters>18718</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Project-OS.org</Company>
  <LinksUpToDate>false</LinksUpToDate>
  <CharactersWithSpaces>21958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pooya</dc:creator>
  <cp:lastModifiedBy>Pooya</cp:lastModifiedBy>
  <cp:revision>5</cp:revision>
  <cp:lastPrinted>2008-07-30T05:46:00Z</cp:lastPrinted>
  <dcterms:created xsi:type="dcterms:W3CDTF">2012-02-02T17:48:00Z</dcterms:created>
  <dcterms:modified xsi:type="dcterms:W3CDTF">2014-12-10T21:03:00Z</dcterms:modified>
</cp:coreProperties>
</file>