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AFC" w:rsidRPr="00134C2C" w:rsidRDefault="00F02AFC" w:rsidP="00134C2C">
      <w:pPr>
        <w:jc w:val="both"/>
        <w:rPr>
          <w:rFonts w:ascii="Times New Roman" w:hAnsi="Times New Roman" w:cs="Times New Roman"/>
          <w:b/>
          <w:sz w:val="24"/>
          <w:szCs w:val="24"/>
        </w:rPr>
      </w:pPr>
      <w:r w:rsidRPr="00134C2C">
        <w:rPr>
          <w:rFonts w:ascii="Times New Roman" w:hAnsi="Times New Roman" w:cs="Times New Roman"/>
          <w:b/>
          <w:sz w:val="24"/>
          <w:szCs w:val="24"/>
        </w:rPr>
        <w:t>ANATOMICAL VARIATIONS OF GREATER PALATINE CANAL AND FORAMEN IN RELATION  TO GENDER IN SOUTH INDIAN POPULATION – A CROSS SECTIONAL STUDY USING CONE BEAM COMPUTERISED TOMOGRAPHY</w:t>
      </w:r>
    </w:p>
    <w:p w:rsidR="00F02AFC" w:rsidRPr="00134C2C" w:rsidRDefault="00F02AFC" w:rsidP="00134C2C">
      <w:pPr>
        <w:jc w:val="both"/>
        <w:rPr>
          <w:rFonts w:ascii="Times New Roman" w:hAnsi="Times New Roman" w:cs="Times New Roman"/>
          <w:b/>
          <w:sz w:val="24"/>
          <w:szCs w:val="24"/>
        </w:rPr>
      </w:pPr>
      <w:r w:rsidRPr="00134C2C">
        <w:rPr>
          <w:rFonts w:ascii="Times New Roman" w:hAnsi="Times New Roman" w:cs="Times New Roman"/>
          <w:b/>
          <w:sz w:val="24"/>
          <w:szCs w:val="24"/>
        </w:rPr>
        <w:t>AIM</w:t>
      </w:r>
    </w:p>
    <w:p w:rsidR="00F02AFC" w:rsidRPr="00134C2C" w:rsidRDefault="00F02AFC" w:rsidP="00134C2C">
      <w:pPr>
        <w:jc w:val="both"/>
        <w:rPr>
          <w:rFonts w:ascii="Times New Roman" w:hAnsi="Times New Roman" w:cs="Times New Roman"/>
          <w:sz w:val="24"/>
          <w:szCs w:val="24"/>
        </w:rPr>
      </w:pPr>
      <w:r w:rsidRPr="00134C2C">
        <w:rPr>
          <w:rFonts w:ascii="Times New Roman" w:hAnsi="Times New Roman" w:cs="Times New Roman"/>
          <w:sz w:val="24"/>
          <w:szCs w:val="24"/>
        </w:rPr>
        <w:t>The greater palatine canal (GPC) extends through the Pterygopalatine fossa and contains the greater palatine and lesser palatine nerves, which diverge to enter the hard palate at respective greater palatine foramina. The anatomical variations of greater palatine canal and their foramina have not been studied comprehensively in South-Indian</w:t>
      </w:r>
      <w:r w:rsidR="0050460D">
        <w:rPr>
          <w:rFonts w:ascii="Times New Roman" w:hAnsi="Times New Roman" w:cs="Times New Roman"/>
          <w:sz w:val="24"/>
          <w:szCs w:val="24"/>
        </w:rPr>
        <w:t xml:space="preserve"> population. We did a study </w:t>
      </w:r>
      <w:r w:rsidRPr="00134C2C">
        <w:rPr>
          <w:rFonts w:ascii="Times New Roman" w:hAnsi="Times New Roman" w:cs="Times New Roman"/>
          <w:sz w:val="24"/>
          <w:szCs w:val="24"/>
        </w:rPr>
        <w:t>to evaluate the position and characteristics of the GPF and canals in South Indian patients using cone beam computed tomography (CBCT) providing variations of the same in relation to gender.</w:t>
      </w:r>
    </w:p>
    <w:p w:rsidR="00F02AFC" w:rsidRPr="00134C2C" w:rsidRDefault="00F02AFC" w:rsidP="00134C2C">
      <w:pPr>
        <w:jc w:val="both"/>
        <w:rPr>
          <w:rFonts w:ascii="Times New Roman" w:hAnsi="Times New Roman" w:cs="Times New Roman"/>
          <w:b/>
          <w:sz w:val="24"/>
          <w:szCs w:val="24"/>
        </w:rPr>
      </w:pPr>
      <w:r w:rsidRPr="00134C2C">
        <w:rPr>
          <w:rFonts w:ascii="Times New Roman" w:hAnsi="Times New Roman" w:cs="Times New Roman"/>
          <w:b/>
          <w:sz w:val="24"/>
          <w:szCs w:val="24"/>
        </w:rPr>
        <w:t>MATERIALS AND METHODS:</w:t>
      </w:r>
    </w:p>
    <w:p w:rsidR="00F02AFC" w:rsidRPr="00134C2C" w:rsidRDefault="00F02AFC"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This experimental study included 100 CBCT scans of </w:t>
      </w:r>
      <w:r w:rsidR="00060B4D" w:rsidRPr="00134C2C">
        <w:rPr>
          <w:rFonts w:ascii="Times New Roman" w:hAnsi="Times New Roman" w:cs="Times New Roman"/>
          <w:sz w:val="24"/>
          <w:szCs w:val="24"/>
        </w:rPr>
        <w:t xml:space="preserve">maxilla </w:t>
      </w:r>
      <w:r w:rsidRPr="00134C2C">
        <w:rPr>
          <w:rFonts w:ascii="Times New Roman" w:hAnsi="Times New Roman" w:cs="Times New Roman"/>
          <w:sz w:val="24"/>
          <w:szCs w:val="24"/>
        </w:rPr>
        <w:t>(50males and 50females) from patients. All patients had informed consent for participation in this study. Inclusion criteria include age above 18 years old and exclusion criteria were: history of trauma or orthognathic surgery, presence of pathologic bone disease in maxilla and CBCT scans that did not include maxil</w:t>
      </w:r>
      <w:r w:rsidR="0050460D">
        <w:rPr>
          <w:rFonts w:ascii="Times New Roman" w:hAnsi="Times New Roman" w:cs="Times New Roman"/>
          <w:sz w:val="24"/>
          <w:szCs w:val="24"/>
        </w:rPr>
        <w:t>la. The selected scans had</w:t>
      </w:r>
      <w:r w:rsidRPr="00134C2C">
        <w:rPr>
          <w:rFonts w:ascii="Times New Roman" w:hAnsi="Times New Roman" w:cs="Times New Roman"/>
          <w:sz w:val="24"/>
          <w:szCs w:val="24"/>
        </w:rPr>
        <w:t xml:space="preserve"> paraxial slices with slice thickness of 0.3 mm. The greater palatine </w:t>
      </w:r>
      <w:r w:rsidR="0050460D">
        <w:rPr>
          <w:rFonts w:ascii="Times New Roman" w:hAnsi="Times New Roman" w:cs="Times New Roman"/>
          <w:sz w:val="24"/>
          <w:szCs w:val="24"/>
        </w:rPr>
        <w:t>region was</w:t>
      </w:r>
      <w:r w:rsidRPr="00134C2C">
        <w:rPr>
          <w:rFonts w:ascii="Times New Roman" w:hAnsi="Times New Roman" w:cs="Times New Roman"/>
          <w:sz w:val="24"/>
          <w:szCs w:val="24"/>
        </w:rPr>
        <w:t xml:space="preserve"> examined in the CBCT scans using Carestream 9300 3D imaging system, 70-90 kVp, 5-10 mA, voxel size 90-180m, fie</w:t>
      </w:r>
      <w:r w:rsidR="0050460D">
        <w:rPr>
          <w:rFonts w:ascii="Times New Roman" w:hAnsi="Times New Roman" w:cs="Times New Roman"/>
          <w:sz w:val="24"/>
          <w:szCs w:val="24"/>
        </w:rPr>
        <w:t>ld of view 10*5 cm. T</w:t>
      </w:r>
      <w:r w:rsidRPr="00134C2C">
        <w:rPr>
          <w:rFonts w:ascii="Times New Roman" w:hAnsi="Times New Roman" w:cs="Times New Roman"/>
          <w:sz w:val="24"/>
          <w:szCs w:val="24"/>
        </w:rPr>
        <w:t xml:space="preserve">he effect of anatomical variations of greaterpalatine region on patient’s gender </w:t>
      </w:r>
      <w:r w:rsidR="0050460D">
        <w:rPr>
          <w:rFonts w:ascii="Times New Roman" w:hAnsi="Times New Roman" w:cs="Times New Roman"/>
          <w:sz w:val="24"/>
          <w:szCs w:val="24"/>
        </w:rPr>
        <w:t xml:space="preserve">were evaluated </w:t>
      </w:r>
      <w:r w:rsidRPr="00134C2C">
        <w:rPr>
          <w:rFonts w:ascii="Times New Roman" w:hAnsi="Times New Roman" w:cs="Times New Roman"/>
          <w:sz w:val="24"/>
          <w:szCs w:val="24"/>
        </w:rPr>
        <w:t>using 7 different parameters.</w:t>
      </w:r>
    </w:p>
    <w:p w:rsidR="00F02AFC" w:rsidRPr="00134C2C" w:rsidRDefault="00F02AFC" w:rsidP="00134C2C">
      <w:pPr>
        <w:jc w:val="both"/>
        <w:rPr>
          <w:rFonts w:ascii="Times New Roman" w:hAnsi="Times New Roman" w:cs="Times New Roman"/>
          <w:b/>
          <w:sz w:val="24"/>
          <w:szCs w:val="24"/>
        </w:rPr>
      </w:pPr>
      <w:r w:rsidRPr="00134C2C">
        <w:rPr>
          <w:rFonts w:ascii="Times New Roman" w:hAnsi="Times New Roman" w:cs="Times New Roman"/>
          <w:b/>
          <w:sz w:val="24"/>
          <w:szCs w:val="24"/>
        </w:rPr>
        <w:t>RESULTS</w:t>
      </w:r>
    </w:p>
    <w:p w:rsidR="00F02AFC" w:rsidRPr="00134C2C" w:rsidRDefault="00F02AFC"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w:t>
      </w:r>
      <w:r w:rsidR="00955A99" w:rsidRPr="00134C2C">
        <w:rPr>
          <w:rFonts w:ascii="Times New Roman" w:hAnsi="Times New Roman" w:cs="Times New Roman"/>
          <w:sz w:val="24"/>
          <w:szCs w:val="24"/>
        </w:rPr>
        <w:t xml:space="preserve">Within the limits of this study, we concluded that in the South-Indian patients studied, the GPF location was more closely related to the second molar. Therefore, the second molar could be used as landmark for successful GPN block anesthesia. </w:t>
      </w:r>
      <w:r w:rsidR="004D2D03" w:rsidRPr="00134C2C">
        <w:rPr>
          <w:rFonts w:ascii="Times New Roman" w:hAnsi="Times New Roman" w:cs="Times New Roman"/>
          <w:sz w:val="24"/>
          <w:szCs w:val="24"/>
        </w:rPr>
        <w:t xml:space="preserve">The measurement GPF to AR was found to be statistically significant among males and females. </w:t>
      </w:r>
      <w:r w:rsidR="00955A99" w:rsidRPr="00134C2C">
        <w:rPr>
          <w:rFonts w:ascii="Times New Roman" w:hAnsi="Times New Roman" w:cs="Times New Roman"/>
          <w:sz w:val="24"/>
          <w:szCs w:val="24"/>
        </w:rPr>
        <w:t>The mean CL was significantly different according to sex and side.</w:t>
      </w:r>
      <w:r w:rsidR="004D2D03" w:rsidRPr="00134C2C">
        <w:rPr>
          <w:rFonts w:ascii="Times New Roman" w:hAnsi="Times New Roman" w:cs="Times New Roman"/>
          <w:sz w:val="24"/>
          <w:szCs w:val="24"/>
        </w:rPr>
        <w:t xml:space="preserve"> Therefore GPF location, its distance to AR and its canal length could be used as a reliable clinical index.</w:t>
      </w:r>
    </w:p>
    <w:p w:rsidR="00F02AFC" w:rsidRPr="00134C2C" w:rsidRDefault="00F02AFC" w:rsidP="00134C2C">
      <w:pPr>
        <w:jc w:val="both"/>
        <w:rPr>
          <w:rFonts w:ascii="Times New Roman" w:hAnsi="Times New Roman" w:cs="Times New Roman"/>
          <w:b/>
          <w:sz w:val="24"/>
          <w:szCs w:val="24"/>
        </w:rPr>
      </w:pPr>
      <w:r w:rsidRPr="00134C2C">
        <w:rPr>
          <w:rFonts w:ascii="Times New Roman" w:hAnsi="Times New Roman" w:cs="Times New Roman"/>
          <w:b/>
          <w:sz w:val="24"/>
          <w:szCs w:val="24"/>
        </w:rPr>
        <w:t>CONCLUSION</w:t>
      </w:r>
    </w:p>
    <w:p w:rsidR="00F02AFC" w:rsidRPr="00134C2C" w:rsidRDefault="00F02AFC"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This study will enlighten that 3D images of CBCT can detect precise anatomic routes to prevent complications of procedures carried out in greaterpalatine region.</w:t>
      </w:r>
    </w:p>
    <w:p w:rsidR="000E46B4" w:rsidRPr="00134C2C" w:rsidRDefault="00060B4D" w:rsidP="00134C2C">
      <w:pPr>
        <w:jc w:val="both"/>
        <w:rPr>
          <w:rFonts w:ascii="Times New Roman" w:hAnsi="Times New Roman" w:cs="Times New Roman"/>
          <w:sz w:val="24"/>
          <w:szCs w:val="24"/>
        </w:rPr>
      </w:pPr>
      <w:r w:rsidRPr="00134C2C">
        <w:rPr>
          <w:rFonts w:ascii="Times New Roman" w:hAnsi="Times New Roman" w:cs="Times New Roman"/>
          <w:sz w:val="24"/>
          <w:szCs w:val="24"/>
        </w:rPr>
        <w:t>Keywords:</w:t>
      </w:r>
      <w:r w:rsidR="004D2D03" w:rsidRPr="00134C2C">
        <w:rPr>
          <w:rFonts w:ascii="Times New Roman" w:hAnsi="Times New Roman" w:cs="Times New Roman"/>
          <w:sz w:val="24"/>
          <w:szCs w:val="24"/>
        </w:rPr>
        <w:t xml:space="preserve"> Anatomy, </w:t>
      </w:r>
      <w:r w:rsidR="0050460D">
        <w:rPr>
          <w:rFonts w:ascii="Times New Roman" w:hAnsi="Times New Roman" w:cs="Times New Roman"/>
          <w:sz w:val="24"/>
          <w:szCs w:val="24"/>
        </w:rPr>
        <w:t xml:space="preserve">Alveolar ridge (AR), </w:t>
      </w:r>
      <w:r w:rsidR="004D2D03" w:rsidRPr="00134C2C">
        <w:rPr>
          <w:rFonts w:ascii="Times New Roman" w:hAnsi="Times New Roman" w:cs="Times New Roman"/>
          <w:sz w:val="24"/>
          <w:szCs w:val="24"/>
        </w:rPr>
        <w:t>cone beam computed tomography, greater palatine foramen, greater palatine canal</w:t>
      </w:r>
      <w:r w:rsidR="00437DE0" w:rsidRPr="00134C2C">
        <w:rPr>
          <w:rFonts w:ascii="Times New Roman" w:hAnsi="Times New Roman" w:cs="Times New Roman"/>
          <w:sz w:val="24"/>
          <w:szCs w:val="24"/>
        </w:rPr>
        <w:t>, mid</w:t>
      </w:r>
      <w:r w:rsidR="00C31E91" w:rsidRPr="00134C2C">
        <w:rPr>
          <w:rFonts w:ascii="Times New Roman" w:hAnsi="Times New Roman" w:cs="Times New Roman"/>
          <w:sz w:val="24"/>
          <w:szCs w:val="24"/>
        </w:rPr>
        <w:t>-maxillary suture</w:t>
      </w:r>
      <w:r w:rsidR="0050460D">
        <w:rPr>
          <w:rFonts w:ascii="Times New Roman" w:hAnsi="Times New Roman" w:cs="Times New Roman"/>
          <w:sz w:val="24"/>
          <w:szCs w:val="24"/>
        </w:rPr>
        <w:t xml:space="preserve"> (MMS)</w:t>
      </w:r>
    </w:p>
    <w:p w:rsidR="00F02AFC" w:rsidRPr="00134C2C" w:rsidRDefault="00F02AFC" w:rsidP="00134C2C">
      <w:pPr>
        <w:jc w:val="both"/>
        <w:rPr>
          <w:rFonts w:ascii="Times New Roman" w:hAnsi="Times New Roman" w:cs="Times New Roman"/>
          <w:b/>
          <w:sz w:val="24"/>
          <w:szCs w:val="24"/>
        </w:rPr>
      </w:pPr>
      <w:r w:rsidRPr="00134C2C">
        <w:rPr>
          <w:rFonts w:ascii="Times New Roman" w:hAnsi="Times New Roman" w:cs="Times New Roman"/>
          <w:b/>
          <w:sz w:val="24"/>
          <w:szCs w:val="24"/>
        </w:rPr>
        <w:t>INTRODUCTION</w:t>
      </w:r>
    </w:p>
    <w:p w:rsidR="00F02AFC" w:rsidRPr="00134C2C" w:rsidRDefault="00F02AFC"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The greater palatine canal (GPC) extends </w:t>
      </w:r>
      <w:r w:rsidR="00D710FE" w:rsidRPr="00134C2C">
        <w:rPr>
          <w:rFonts w:ascii="Times New Roman" w:hAnsi="Times New Roman" w:cs="Times New Roman"/>
          <w:sz w:val="24"/>
          <w:szCs w:val="24"/>
        </w:rPr>
        <w:t>through the Pterygopalatine fossa</w:t>
      </w:r>
      <w:r w:rsidR="00623699" w:rsidRPr="00134C2C">
        <w:rPr>
          <w:rFonts w:ascii="Times New Roman" w:hAnsi="Times New Roman" w:cs="Times New Roman"/>
          <w:sz w:val="24"/>
          <w:szCs w:val="24"/>
        </w:rPr>
        <w:t xml:space="preserve"> </w:t>
      </w:r>
      <w:r w:rsidR="00D710FE" w:rsidRPr="00134C2C">
        <w:rPr>
          <w:rFonts w:ascii="Times New Roman" w:hAnsi="Times New Roman" w:cs="Times New Roman"/>
          <w:sz w:val="24"/>
          <w:szCs w:val="24"/>
        </w:rPr>
        <w:t xml:space="preserve">(PPF), </w:t>
      </w:r>
      <w:r w:rsidRPr="00134C2C">
        <w:rPr>
          <w:rFonts w:ascii="Times New Roman" w:hAnsi="Times New Roman" w:cs="Times New Roman"/>
          <w:sz w:val="24"/>
          <w:szCs w:val="24"/>
        </w:rPr>
        <w:t>which</w:t>
      </w:r>
      <w:r w:rsidR="00D710FE" w:rsidRPr="00134C2C">
        <w:rPr>
          <w:rFonts w:ascii="Times New Roman" w:hAnsi="Times New Roman" w:cs="Times New Roman"/>
          <w:sz w:val="24"/>
          <w:szCs w:val="24"/>
        </w:rPr>
        <w:t xml:space="preserve"> then</w:t>
      </w:r>
      <w:r w:rsidRPr="00134C2C">
        <w:rPr>
          <w:rFonts w:ascii="Times New Roman" w:hAnsi="Times New Roman" w:cs="Times New Roman"/>
          <w:sz w:val="24"/>
          <w:szCs w:val="24"/>
        </w:rPr>
        <w:t xml:space="preserve"> diverge</w:t>
      </w:r>
      <w:r w:rsidR="00D710FE" w:rsidRPr="00134C2C">
        <w:rPr>
          <w:rFonts w:ascii="Times New Roman" w:hAnsi="Times New Roman" w:cs="Times New Roman"/>
          <w:sz w:val="24"/>
          <w:szCs w:val="24"/>
        </w:rPr>
        <w:t>s</w:t>
      </w:r>
      <w:r w:rsidRPr="00134C2C">
        <w:rPr>
          <w:rFonts w:ascii="Times New Roman" w:hAnsi="Times New Roman" w:cs="Times New Roman"/>
          <w:sz w:val="24"/>
          <w:szCs w:val="24"/>
        </w:rPr>
        <w:t xml:space="preserve"> to enter the hard palate at respective foram</w:t>
      </w:r>
      <w:r w:rsidR="00623699" w:rsidRPr="00134C2C">
        <w:rPr>
          <w:rFonts w:ascii="Times New Roman" w:hAnsi="Times New Roman" w:cs="Times New Roman"/>
          <w:sz w:val="24"/>
          <w:szCs w:val="24"/>
        </w:rPr>
        <w:t>ina. It houses the descending palatine artery (a branch of the third division of the maxillary artery) and greater and lesser palatine nerves (branches of the maxillary division of the trigeminal nerve) and their posterior inferio-lateral nasal branche</w:t>
      </w:r>
      <w:r w:rsidR="00437DE0" w:rsidRPr="00134C2C">
        <w:rPr>
          <w:rFonts w:ascii="Times New Roman" w:hAnsi="Times New Roman" w:cs="Times New Roman"/>
          <w:sz w:val="24"/>
          <w:szCs w:val="24"/>
        </w:rPr>
        <w:t>s</w:t>
      </w:r>
      <w:r w:rsidR="00623699" w:rsidRPr="00134C2C">
        <w:rPr>
          <w:rFonts w:ascii="Times New Roman" w:hAnsi="Times New Roman" w:cs="Times New Roman"/>
          <w:sz w:val="24"/>
          <w:szCs w:val="24"/>
        </w:rPr>
        <w:t xml:space="preserve">. </w:t>
      </w:r>
      <w:r w:rsidRPr="00134C2C">
        <w:rPr>
          <w:rFonts w:ascii="Times New Roman" w:hAnsi="Times New Roman" w:cs="Times New Roman"/>
          <w:sz w:val="24"/>
          <w:szCs w:val="24"/>
        </w:rPr>
        <w:t xml:space="preserve"> The canal helps direct access to the PPF, including the sphenopalatine ganglion, </w:t>
      </w:r>
      <w:r w:rsidRPr="00134C2C">
        <w:rPr>
          <w:rFonts w:ascii="Times New Roman" w:hAnsi="Times New Roman" w:cs="Times New Roman"/>
          <w:sz w:val="24"/>
          <w:szCs w:val="24"/>
        </w:rPr>
        <w:lastRenderedPageBreak/>
        <w:t>pterygopalatine ganglion, infraorbital nerve, internal maxillary artery, and the pterygoid venous plexus</w:t>
      </w:r>
      <w:r w:rsidR="00437DE0" w:rsidRPr="00134C2C">
        <w:rPr>
          <w:rFonts w:ascii="Times New Roman" w:hAnsi="Times New Roman" w:cs="Times New Roman"/>
          <w:sz w:val="24"/>
          <w:szCs w:val="24"/>
        </w:rPr>
        <w:t>.</w:t>
      </w:r>
      <w:r w:rsidR="00437DE0" w:rsidRPr="00134C2C">
        <w:rPr>
          <w:rFonts w:ascii="Times New Roman" w:hAnsi="Times New Roman" w:cs="Times New Roman"/>
          <w:sz w:val="24"/>
          <w:szCs w:val="24"/>
          <w:vertAlign w:val="superscript"/>
        </w:rPr>
        <w:t>1</w:t>
      </w:r>
      <w:r w:rsidR="00D710FE" w:rsidRPr="00134C2C">
        <w:rPr>
          <w:rFonts w:ascii="Times New Roman" w:hAnsi="Times New Roman" w:cs="Times New Roman"/>
          <w:sz w:val="24"/>
          <w:szCs w:val="24"/>
        </w:rPr>
        <w:t xml:space="preserve"> The anatomy of the greater palatine canal is of interest to dentists, oral maxillofacial surgeons, and otolaryngologists performing procedures in this area (e.g., administration of local anesthesia, dental implant placement, orthognathic Le Fort osteotomies,</w:t>
      </w:r>
      <w:r w:rsidR="00437DE0" w:rsidRPr="00134C2C">
        <w:rPr>
          <w:rFonts w:ascii="Times New Roman" w:hAnsi="Times New Roman" w:cs="Times New Roman"/>
          <w:sz w:val="24"/>
          <w:szCs w:val="24"/>
        </w:rPr>
        <w:t xml:space="preserve"> and sino-nasal surgeries).</w:t>
      </w:r>
      <w:r w:rsidR="00437DE0" w:rsidRPr="00134C2C">
        <w:rPr>
          <w:rFonts w:ascii="Times New Roman" w:hAnsi="Times New Roman" w:cs="Times New Roman"/>
          <w:sz w:val="24"/>
          <w:szCs w:val="24"/>
          <w:vertAlign w:val="superscript"/>
        </w:rPr>
        <w:t>2</w:t>
      </w:r>
    </w:p>
    <w:p w:rsidR="005D0EA5" w:rsidRPr="00134C2C" w:rsidRDefault="00D710FE"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w:t>
      </w:r>
      <w:r w:rsidR="005D0EA5" w:rsidRPr="00134C2C">
        <w:rPr>
          <w:rFonts w:ascii="Times New Roman" w:hAnsi="Times New Roman" w:cs="Times New Roman"/>
          <w:sz w:val="24"/>
          <w:szCs w:val="24"/>
        </w:rPr>
        <w:t>Although the greater palatine foramen is of great clinical importance, its exact location is not adequately described in any standard text</w:t>
      </w:r>
      <w:r w:rsidR="000E46B4" w:rsidRPr="00134C2C">
        <w:rPr>
          <w:rFonts w:ascii="Times New Roman" w:hAnsi="Times New Roman" w:cs="Times New Roman"/>
          <w:sz w:val="24"/>
          <w:szCs w:val="24"/>
        </w:rPr>
        <w:t>book on</w:t>
      </w:r>
      <w:r w:rsidR="005D0EA5" w:rsidRPr="00134C2C">
        <w:rPr>
          <w:rFonts w:ascii="Times New Roman" w:hAnsi="Times New Roman" w:cs="Times New Roman"/>
          <w:sz w:val="24"/>
          <w:szCs w:val="24"/>
        </w:rPr>
        <w:t xml:space="preserve"> </w:t>
      </w:r>
      <w:r w:rsidR="000E46B4" w:rsidRPr="00134C2C">
        <w:rPr>
          <w:rFonts w:ascii="Times New Roman" w:hAnsi="Times New Roman" w:cs="Times New Roman"/>
          <w:sz w:val="24"/>
          <w:szCs w:val="24"/>
        </w:rPr>
        <w:t xml:space="preserve">surgery or </w:t>
      </w:r>
      <w:r w:rsidR="005D0EA5" w:rsidRPr="00134C2C">
        <w:rPr>
          <w:rFonts w:ascii="Times New Roman" w:hAnsi="Times New Roman" w:cs="Times New Roman"/>
          <w:sz w:val="24"/>
          <w:szCs w:val="24"/>
        </w:rPr>
        <w:t>anatomy</w:t>
      </w:r>
      <w:r w:rsidR="000E46B4" w:rsidRPr="00134C2C">
        <w:rPr>
          <w:rFonts w:ascii="Times New Roman" w:hAnsi="Times New Roman" w:cs="Times New Roman"/>
          <w:sz w:val="24"/>
          <w:szCs w:val="24"/>
        </w:rPr>
        <w:t>. Anatomy textbooks locate the foramen only in a general way, for example “in the posterolateral palate” or “opposite the last tooth”. Clinical textbooks on anesthesia are somewhat more specific in relating the GPF to the molar teeth. However. In a comparison of these texts one finds variation in the reported locations. Accordingly the position is cited as opposite the second molar, opposite the third molar or anywhere between the second and third molar</w:t>
      </w:r>
      <w:r w:rsidR="00437DE0" w:rsidRPr="00134C2C">
        <w:rPr>
          <w:rFonts w:ascii="Times New Roman" w:hAnsi="Times New Roman" w:cs="Times New Roman"/>
          <w:sz w:val="24"/>
          <w:szCs w:val="24"/>
          <w:vertAlign w:val="superscript"/>
        </w:rPr>
        <w:t>3</w:t>
      </w:r>
      <w:r w:rsidR="000E46B4" w:rsidRPr="00134C2C">
        <w:rPr>
          <w:rFonts w:ascii="Times New Roman" w:hAnsi="Times New Roman" w:cs="Times New Roman"/>
          <w:sz w:val="24"/>
          <w:szCs w:val="24"/>
        </w:rPr>
        <w:t>.</w:t>
      </w:r>
    </w:p>
    <w:p w:rsidR="000E46B4" w:rsidRPr="00134C2C" w:rsidRDefault="000E46B4"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Variations in the location of GPF may pose difficulties in the local and regional anesthesia of the</w:t>
      </w:r>
      <w:r w:rsidR="00437DE0" w:rsidRPr="00134C2C">
        <w:rPr>
          <w:rFonts w:ascii="Times New Roman" w:hAnsi="Times New Roman" w:cs="Times New Roman"/>
          <w:sz w:val="24"/>
          <w:szCs w:val="24"/>
        </w:rPr>
        <w:t xml:space="preserve"> trigeminal maxillary division</w:t>
      </w:r>
      <w:r w:rsidRPr="00134C2C">
        <w:rPr>
          <w:rFonts w:ascii="Times New Roman" w:hAnsi="Times New Roman" w:cs="Times New Roman"/>
          <w:sz w:val="24"/>
          <w:szCs w:val="24"/>
        </w:rPr>
        <w:t>. In addition, difficulties may occur in identifying the emergence of the greater palatine artery within the oral cavity, which represents important information in the surgery of</w:t>
      </w:r>
      <w:r w:rsidR="00437DE0" w:rsidRPr="00134C2C">
        <w:rPr>
          <w:rFonts w:ascii="Times New Roman" w:hAnsi="Times New Roman" w:cs="Times New Roman"/>
          <w:sz w:val="24"/>
          <w:szCs w:val="24"/>
        </w:rPr>
        <w:t xml:space="preserve"> palatal free vascular flaps</w:t>
      </w:r>
      <w:r w:rsidRPr="00134C2C">
        <w:rPr>
          <w:rFonts w:ascii="Times New Roman" w:hAnsi="Times New Roman" w:cs="Times New Roman"/>
          <w:sz w:val="24"/>
          <w:szCs w:val="24"/>
        </w:rPr>
        <w:t>, cleft pa</w:t>
      </w:r>
      <w:r w:rsidR="00437DE0" w:rsidRPr="00134C2C">
        <w:rPr>
          <w:rFonts w:ascii="Times New Roman" w:hAnsi="Times New Roman" w:cs="Times New Roman"/>
          <w:sz w:val="24"/>
          <w:szCs w:val="24"/>
        </w:rPr>
        <w:t>late, or maxillary sinus.</w:t>
      </w:r>
      <w:r w:rsidR="00437DE0" w:rsidRPr="00134C2C">
        <w:rPr>
          <w:rFonts w:ascii="Times New Roman" w:hAnsi="Times New Roman" w:cs="Times New Roman"/>
          <w:sz w:val="24"/>
          <w:szCs w:val="24"/>
          <w:vertAlign w:val="superscript"/>
        </w:rPr>
        <w:t>4</w:t>
      </w:r>
    </w:p>
    <w:p w:rsidR="000E46B4" w:rsidRPr="00134C2C" w:rsidRDefault="000E46B4"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A good knowledge of the anatomy and average length of the GPC is crucial for avoiding possible complications like penetration of </w:t>
      </w:r>
      <w:r w:rsidR="0050460D">
        <w:rPr>
          <w:rFonts w:ascii="Times New Roman" w:hAnsi="Times New Roman" w:cs="Times New Roman"/>
          <w:sz w:val="24"/>
          <w:szCs w:val="24"/>
        </w:rPr>
        <w:t>the orbit and nasal cavity, pro</w:t>
      </w:r>
      <w:r w:rsidRPr="00134C2C">
        <w:rPr>
          <w:rFonts w:ascii="Times New Roman" w:hAnsi="Times New Roman" w:cs="Times New Roman"/>
          <w:sz w:val="24"/>
          <w:szCs w:val="24"/>
        </w:rPr>
        <w:t>to</w:t>
      </w:r>
      <w:r w:rsidR="0050460D">
        <w:rPr>
          <w:rFonts w:ascii="Times New Roman" w:hAnsi="Times New Roman" w:cs="Times New Roman"/>
          <w:sz w:val="24"/>
          <w:szCs w:val="24"/>
        </w:rPr>
        <w:t>p</w:t>
      </w:r>
      <w:r w:rsidRPr="00134C2C">
        <w:rPr>
          <w:rFonts w:ascii="Times New Roman" w:hAnsi="Times New Roman" w:cs="Times New Roman"/>
          <w:sz w:val="24"/>
          <w:szCs w:val="24"/>
        </w:rPr>
        <w:t>sis, blindness from vasoconstriction of the ophthalmic artery and/or intracranial spread of infection, intravascular injection, penetration of the nasopharynx, damage to neural t</w:t>
      </w:r>
      <w:r w:rsidR="00623699" w:rsidRPr="00134C2C">
        <w:rPr>
          <w:rFonts w:ascii="Times New Roman" w:hAnsi="Times New Roman" w:cs="Times New Roman"/>
          <w:sz w:val="24"/>
          <w:szCs w:val="24"/>
        </w:rPr>
        <w:t xml:space="preserve">issue, and failed anesthesia. </w:t>
      </w:r>
      <w:r w:rsidRPr="00134C2C">
        <w:rPr>
          <w:rFonts w:ascii="Times New Roman" w:hAnsi="Times New Roman" w:cs="Times New Roman"/>
          <w:sz w:val="24"/>
          <w:szCs w:val="24"/>
        </w:rPr>
        <w:t>3D images of cone beam computed to</w:t>
      </w:r>
      <w:r w:rsidR="00623699" w:rsidRPr="00134C2C">
        <w:rPr>
          <w:rFonts w:ascii="Times New Roman" w:hAnsi="Times New Roman" w:cs="Times New Roman"/>
          <w:sz w:val="24"/>
          <w:szCs w:val="24"/>
        </w:rPr>
        <w:t xml:space="preserve">mography </w:t>
      </w:r>
      <w:r w:rsidRPr="00134C2C">
        <w:rPr>
          <w:rFonts w:ascii="Times New Roman" w:hAnsi="Times New Roman" w:cs="Times New Roman"/>
          <w:sz w:val="24"/>
          <w:szCs w:val="24"/>
        </w:rPr>
        <w:t>(CBCT) are becom</w:t>
      </w:r>
      <w:r w:rsidR="00623699" w:rsidRPr="00134C2C">
        <w:rPr>
          <w:rFonts w:ascii="Times New Roman" w:hAnsi="Times New Roman" w:cs="Times New Roman"/>
          <w:sz w:val="24"/>
          <w:szCs w:val="24"/>
        </w:rPr>
        <w:t xml:space="preserve">ing more readily available for </w:t>
      </w:r>
      <w:r w:rsidRPr="00134C2C">
        <w:rPr>
          <w:rFonts w:ascii="Times New Roman" w:hAnsi="Times New Roman" w:cs="Times New Roman"/>
          <w:sz w:val="24"/>
          <w:szCs w:val="24"/>
        </w:rPr>
        <w:t>use in maxillofa</w:t>
      </w:r>
      <w:r w:rsidR="00623699" w:rsidRPr="00134C2C">
        <w:rPr>
          <w:rFonts w:ascii="Times New Roman" w:hAnsi="Times New Roman" w:cs="Times New Roman"/>
          <w:sz w:val="24"/>
          <w:szCs w:val="24"/>
        </w:rPr>
        <w:t xml:space="preserve">cial applications and provides </w:t>
      </w:r>
      <w:r w:rsidRPr="00134C2C">
        <w:rPr>
          <w:rFonts w:ascii="Times New Roman" w:hAnsi="Times New Roman" w:cs="Times New Roman"/>
          <w:sz w:val="24"/>
          <w:szCs w:val="24"/>
        </w:rPr>
        <w:t xml:space="preserve">better image quality </w:t>
      </w:r>
      <w:r w:rsidR="00623699" w:rsidRPr="00134C2C">
        <w:rPr>
          <w:rFonts w:ascii="Times New Roman" w:hAnsi="Times New Roman" w:cs="Times New Roman"/>
          <w:sz w:val="24"/>
          <w:szCs w:val="24"/>
        </w:rPr>
        <w:t xml:space="preserve">of teeth and their surrounding </w:t>
      </w:r>
      <w:r w:rsidRPr="00134C2C">
        <w:rPr>
          <w:rFonts w:ascii="Times New Roman" w:hAnsi="Times New Roman" w:cs="Times New Roman"/>
          <w:sz w:val="24"/>
          <w:szCs w:val="24"/>
        </w:rPr>
        <w:t>structures, compared wit</w:t>
      </w:r>
      <w:r w:rsidR="00623699" w:rsidRPr="00134C2C">
        <w:rPr>
          <w:rFonts w:ascii="Times New Roman" w:hAnsi="Times New Roman" w:cs="Times New Roman"/>
          <w:sz w:val="24"/>
          <w:szCs w:val="24"/>
        </w:rPr>
        <w:t>h conventional CT scan.</w:t>
      </w:r>
      <w:r w:rsidR="00437DE0" w:rsidRPr="00134C2C">
        <w:rPr>
          <w:rFonts w:ascii="Times New Roman" w:hAnsi="Times New Roman" w:cs="Times New Roman"/>
          <w:sz w:val="24"/>
          <w:szCs w:val="24"/>
          <w:vertAlign w:val="superscript"/>
        </w:rPr>
        <w:t xml:space="preserve"> 1</w:t>
      </w:r>
    </w:p>
    <w:p w:rsidR="00623699" w:rsidRPr="00134C2C" w:rsidRDefault="00623699"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The aim of this study was to map the anatomical variations of the Greater palatine canal and greater palatine foramen using CBCT in the South-Indian population. Our results have been compared to the already existing anatomical data in other races and populations, might improve </w:t>
      </w:r>
      <w:r w:rsidR="00060B4D" w:rsidRPr="00134C2C">
        <w:rPr>
          <w:rFonts w:ascii="Times New Roman" w:hAnsi="Times New Roman" w:cs="Times New Roman"/>
          <w:sz w:val="24"/>
          <w:szCs w:val="24"/>
        </w:rPr>
        <w:t>clinical success in maxillo</w:t>
      </w:r>
      <w:r w:rsidRPr="00134C2C">
        <w:rPr>
          <w:rFonts w:ascii="Times New Roman" w:hAnsi="Times New Roman" w:cs="Times New Roman"/>
          <w:sz w:val="24"/>
          <w:szCs w:val="24"/>
        </w:rPr>
        <w:t>facial and oral surgery.</w:t>
      </w:r>
    </w:p>
    <w:p w:rsidR="00060B4D" w:rsidRPr="00134C2C" w:rsidRDefault="00060B4D" w:rsidP="00134C2C">
      <w:pPr>
        <w:jc w:val="both"/>
        <w:rPr>
          <w:rFonts w:ascii="Times New Roman" w:hAnsi="Times New Roman" w:cs="Times New Roman"/>
          <w:b/>
          <w:sz w:val="24"/>
          <w:szCs w:val="24"/>
        </w:rPr>
      </w:pPr>
      <w:r w:rsidRPr="00134C2C">
        <w:rPr>
          <w:rFonts w:ascii="Times New Roman" w:hAnsi="Times New Roman" w:cs="Times New Roman"/>
          <w:b/>
          <w:sz w:val="24"/>
          <w:szCs w:val="24"/>
        </w:rPr>
        <w:t>MATERIALS AND METHODS</w:t>
      </w:r>
    </w:p>
    <w:p w:rsidR="00764C42" w:rsidRPr="00134C2C" w:rsidRDefault="00060B4D"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A descriptive analytical cross-sectional study was conducted on 100 CBCT scans of maxilla</w:t>
      </w:r>
      <w:r w:rsidRPr="00134C2C">
        <w:rPr>
          <w:rStyle w:val="A4"/>
          <w:rFonts w:ascii="Times New Roman" w:hAnsi="Times New Roman" w:cs="Times New Roman"/>
          <w:sz w:val="24"/>
          <w:szCs w:val="24"/>
        </w:rPr>
        <w:t xml:space="preserve"> (50 males and 50 females) from patients.</w:t>
      </w:r>
      <w:r w:rsidRPr="00134C2C">
        <w:rPr>
          <w:rFonts w:ascii="Times New Roman" w:hAnsi="Times New Roman" w:cs="Times New Roman"/>
          <w:sz w:val="24"/>
          <w:szCs w:val="24"/>
        </w:rPr>
        <w:t xml:space="preserve"> All patients had informed consent for participation in this study</w:t>
      </w:r>
      <w:r w:rsidRPr="00134C2C">
        <w:rPr>
          <w:rStyle w:val="A4"/>
          <w:rFonts w:ascii="Times New Roman" w:hAnsi="Times New Roman" w:cs="Times New Roman"/>
          <w:sz w:val="24"/>
          <w:szCs w:val="24"/>
        </w:rPr>
        <w:t>.</w:t>
      </w:r>
      <w:r w:rsidR="00B1266D" w:rsidRPr="00134C2C">
        <w:rPr>
          <w:rFonts w:ascii="Times New Roman" w:hAnsi="Times New Roman" w:cs="Times New Roman"/>
          <w:sz w:val="24"/>
          <w:szCs w:val="24"/>
        </w:rPr>
        <w:t xml:space="preserve"> </w:t>
      </w:r>
      <w:r w:rsidR="00B1266D" w:rsidRPr="00134C2C">
        <w:rPr>
          <w:rStyle w:val="A4"/>
          <w:rFonts w:ascii="Times New Roman" w:hAnsi="Times New Roman" w:cs="Times New Roman"/>
          <w:sz w:val="24"/>
          <w:szCs w:val="24"/>
        </w:rPr>
        <w:t xml:space="preserve">The inclusion criteria included: presence of all upper erupted molars in both maxilla sides; male/female aged 18 years or older, and absence of any pathological conditions or deformities in the jaws. The </w:t>
      </w:r>
      <w:r w:rsidR="00B1266D" w:rsidRPr="00134C2C">
        <w:rPr>
          <w:rFonts w:ascii="Times New Roman" w:hAnsi="Times New Roman" w:cs="Times New Roman"/>
          <w:sz w:val="24"/>
          <w:szCs w:val="24"/>
        </w:rPr>
        <w:t>exclusion criteria were: history of trauma or orthognathic surgery, presence of pathologic bone disease in maxilla, CBCT scans that did not include maxilla and syndromic patien</w:t>
      </w:r>
      <w:r w:rsidR="00B1334E">
        <w:rPr>
          <w:rFonts w:ascii="Times New Roman" w:hAnsi="Times New Roman" w:cs="Times New Roman"/>
          <w:sz w:val="24"/>
          <w:szCs w:val="24"/>
        </w:rPr>
        <w:t>ts. The selected scans had</w:t>
      </w:r>
      <w:r w:rsidR="00B1266D" w:rsidRPr="00134C2C">
        <w:rPr>
          <w:rFonts w:ascii="Times New Roman" w:hAnsi="Times New Roman" w:cs="Times New Roman"/>
          <w:sz w:val="24"/>
          <w:szCs w:val="24"/>
        </w:rPr>
        <w:t xml:space="preserve"> paraxial slices with slice thickness of 0.3 mm. The greater palatine region </w:t>
      </w:r>
      <w:r w:rsidR="00B1266D" w:rsidRPr="00134C2C">
        <w:rPr>
          <w:rStyle w:val="A4"/>
          <w:rFonts w:ascii="Times New Roman" w:hAnsi="Times New Roman" w:cs="Times New Roman"/>
          <w:sz w:val="24"/>
          <w:szCs w:val="24"/>
        </w:rPr>
        <w:t>was in the CBCT scans. The CBCT examinations were carried out for every patient with Carestream 9300 3D imaging sy</w:t>
      </w:r>
      <w:r w:rsidR="00B1334E">
        <w:rPr>
          <w:rStyle w:val="A4"/>
          <w:rFonts w:ascii="Times New Roman" w:hAnsi="Times New Roman" w:cs="Times New Roman"/>
          <w:sz w:val="24"/>
          <w:szCs w:val="24"/>
        </w:rPr>
        <w:t>stem. Full rotation scan was</w:t>
      </w:r>
      <w:r w:rsidR="00B1266D" w:rsidRPr="00134C2C">
        <w:rPr>
          <w:rStyle w:val="A4"/>
          <w:rFonts w:ascii="Times New Roman" w:hAnsi="Times New Roman" w:cs="Times New Roman"/>
          <w:sz w:val="24"/>
          <w:szCs w:val="24"/>
        </w:rPr>
        <w:t xml:space="preserve"> performed with 70-90 kVp, 5-10 mA and voxel size of 90-180 m. the size of field of view will be 10*5 </w:t>
      </w:r>
      <w:r w:rsidR="00B1266D" w:rsidRPr="00134C2C">
        <w:rPr>
          <w:rFonts w:ascii="Times New Roman" w:hAnsi="Times New Roman" w:cs="Times New Roman"/>
          <w:sz w:val="24"/>
          <w:szCs w:val="24"/>
        </w:rPr>
        <w:t>cm.</w:t>
      </w:r>
      <w:r w:rsidR="00764C42" w:rsidRPr="00134C2C">
        <w:rPr>
          <w:rFonts w:ascii="Times New Roman" w:hAnsi="Times New Roman" w:cs="Times New Roman"/>
          <w:sz w:val="24"/>
          <w:szCs w:val="24"/>
        </w:rPr>
        <w:t xml:space="preserve"> All images were taken using volume 1 (high-resolution) and high-contrast options. </w:t>
      </w:r>
    </w:p>
    <w:p w:rsidR="00CB6D5A" w:rsidRPr="00134C2C" w:rsidRDefault="00CB6D5A" w:rsidP="00134C2C">
      <w:pPr>
        <w:jc w:val="both"/>
        <w:rPr>
          <w:rStyle w:val="A4"/>
          <w:rFonts w:ascii="Times New Roman" w:hAnsi="Times New Roman" w:cs="Times New Roman"/>
          <w:color w:val="auto"/>
          <w:sz w:val="24"/>
          <w:szCs w:val="24"/>
        </w:rPr>
      </w:pPr>
      <w:r w:rsidRPr="00134C2C">
        <w:rPr>
          <w:rFonts w:ascii="Times New Roman" w:hAnsi="Times New Roman" w:cs="Times New Roman"/>
          <w:sz w:val="24"/>
          <w:szCs w:val="24"/>
        </w:rPr>
        <w:lastRenderedPageBreak/>
        <w:t>To standardize the shape of the GPF, two different landmarks were introduced as its inferior limit; in the sagittal plane, the posterior wall of the GPF was used, and in the coronal plane, the inferior surface of the horizontal hard palate was used according to the method given by Sheiki et al.</w:t>
      </w:r>
      <w:r w:rsidR="00437DE0" w:rsidRPr="00134C2C">
        <w:rPr>
          <w:rFonts w:ascii="Times New Roman" w:hAnsi="Times New Roman" w:cs="Times New Roman"/>
          <w:sz w:val="24"/>
          <w:szCs w:val="24"/>
          <w:vertAlign w:val="superscript"/>
        </w:rPr>
        <w:t xml:space="preserve"> 1</w:t>
      </w:r>
      <w:r w:rsidRPr="00134C2C">
        <w:rPr>
          <w:rFonts w:ascii="Times New Roman" w:hAnsi="Times New Roman" w:cs="Times New Roman"/>
          <w:sz w:val="24"/>
          <w:szCs w:val="24"/>
        </w:rPr>
        <w:t xml:space="preserve"> Also for this study, the pterygoid canal was selected as the superi</w:t>
      </w:r>
      <w:r w:rsidR="0050460D">
        <w:rPr>
          <w:rFonts w:ascii="Times New Roman" w:hAnsi="Times New Roman" w:cs="Times New Roman"/>
          <w:sz w:val="24"/>
          <w:szCs w:val="24"/>
        </w:rPr>
        <w:t xml:space="preserve">or limit instead of the foramen </w:t>
      </w:r>
      <w:r w:rsidRPr="00134C2C">
        <w:rPr>
          <w:rFonts w:ascii="Times New Roman" w:hAnsi="Times New Roman" w:cs="Times New Roman"/>
          <w:sz w:val="24"/>
          <w:szCs w:val="24"/>
        </w:rPr>
        <w:t>rotundum due to its ease of identification in relation to the greater palatine canal.</w:t>
      </w:r>
      <w:r w:rsidRPr="00134C2C">
        <w:rPr>
          <w:rStyle w:val="A4"/>
          <w:rFonts w:ascii="Times New Roman" w:hAnsi="Times New Roman" w:cs="Times New Roman"/>
          <w:color w:val="auto"/>
          <w:sz w:val="24"/>
          <w:szCs w:val="24"/>
        </w:rPr>
        <w:t xml:space="preserve"> Soft tissue depth was not included.</w:t>
      </w:r>
      <w:r w:rsidR="008228D2" w:rsidRPr="00134C2C">
        <w:rPr>
          <w:rStyle w:val="A4"/>
          <w:rFonts w:ascii="Times New Roman" w:hAnsi="Times New Roman" w:cs="Times New Roman"/>
          <w:color w:val="auto"/>
          <w:sz w:val="24"/>
          <w:szCs w:val="24"/>
          <w:vertAlign w:val="superscript"/>
        </w:rPr>
        <w:t>2</w:t>
      </w:r>
      <w:r w:rsidR="005672F1">
        <w:rPr>
          <w:rStyle w:val="A4"/>
          <w:rFonts w:ascii="Times New Roman" w:hAnsi="Times New Roman" w:cs="Times New Roman"/>
          <w:color w:val="auto"/>
          <w:sz w:val="24"/>
          <w:szCs w:val="24"/>
          <w:vertAlign w:val="superscript"/>
        </w:rPr>
        <w:t xml:space="preserve"> </w:t>
      </w:r>
    </w:p>
    <w:p w:rsidR="00B1266D" w:rsidRPr="00134C2C" w:rsidRDefault="00764C42" w:rsidP="00134C2C">
      <w:pPr>
        <w:jc w:val="both"/>
        <w:rPr>
          <w:rFonts w:ascii="Times New Roman" w:hAnsi="Times New Roman" w:cs="Times New Roman"/>
          <w:sz w:val="24"/>
          <w:szCs w:val="24"/>
        </w:rPr>
      </w:pPr>
      <w:r w:rsidRPr="00134C2C">
        <w:rPr>
          <w:rFonts w:ascii="Times New Roman" w:hAnsi="Times New Roman" w:cs="Times New Roman"/>
          <w:sz w:val="24"/>
          <w:szCs w:val="24"/>
        </w:rPr>
        <w:t>Seven different variables were assessed, which are discussed subsequently.</w:t>
      </w:r>
    </w:p>
    <w:p w:rsidR="00764C42" w:rsidRPr="00134C2C" w:rsidRDefault="005C00C2" w:rsidP="00134C2C">
      <w:pPr>
        <w:pStyle w:val="ListParagraph"/>
        <w:numPr>
          <w:ilvl w:val="0"/>
          <w:numId w:val="1"/>
        </w:num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 xml:space="preserve">POSITION OF </w:t>
      </w:r>
      <w:r w:rsidR="008228D2" w:rsidRPr="00134C2C">
        <w:rPr>
          <w:rStyle w:val="A4"/>
          <w:rFonts w:ascii="Times New Roman" w:hAnsi="Times New Roman" w:cs="Times New Roman"/>
          <w:color w:val="auto"/>
          <w:sz w:val="24"/>
          <w:szCs w:val="24"/>
        </w:rPr>
        <w:t>GPF IN RELATION TO UPPER MOLARS</w:t>
      </w:r>
    </w:p>
    <w:p w:rsidR="00764C42" w:rsidRPr="00134C2C" w:rsidRDefault="00764C42" w:rsidP="00134C2C">
      <w:p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To assess the position of the GPF with respect to the upper molars, the following evaluation was conducted on each image in axial reconstruction. Firstly, five tangents were drawn parallel to the middle of and interproximal to the face of the upper molars and the following classification was used to assess the position</w:t>
      </w:r>
      <w:r w:rsidR="003822E0" w:rsidRPr="00134C2C">
        <w:rPr>
          <w:rStyle w:val="A4"/>
          <w:rFonts w:ascii="Times New Roman" w:hAnsi="Times New Roman" w:cs="Times New Roman"/>
          <w:color w:val="auto"/>
          <w:sz w:val="24"/>
          <w:szCs w:val="24"/>
        </w:rPr>
        <w:t xml:space="preserve"> (Fig 1)</w:t>
      </w:r>
      <w:r w:rsidRPr="00134C2C">
        <w:rPr>
          <w:rStyle w:val="A4"/>
          <w:rFonts w:ascii="Times New Roman" w:hAnsi="Times New Roman" w:cs="Times New Roman"/>
          <w:color w:val="auto"/>
          <w:sz w:val="24"/>
          <w:szCs w:val="24"/>
        </w:rPr>
        <w:t xml:space="preserve">: </w:t>
      </w:r>
    </w:p>
    <w:p w:rsidR="00764C42" w:rsidRPr="00134C2C" w:rsidRDefault="00764C42" w:rsidP="00134C2C">
      <w:p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 xml:space="preserve">(A) From the medial face of second molar to its center; </w:t>
      </w:r>
    </w:p>
    <w:p w:rsidR="00764C42" w:rsidRPr="00134C2C" w:rsidRDefault="00764C42" w:rsidP="00134C2C">
      <w:p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 xml:space="preserve">(B) From the center of second molar up to its distal face; </w:t>
      </w:r>
    </w:p>
    <w:p w:rsidR="00764C42" w:rsidRPr="00134C2C" w:rsidRDefault="00764C42" w:rsidP="00134C2C">
      <w:p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 xml:space="preserve">(C) From the medial face of third molar up to its center; </w:t>
      </w:r>
    </w:p>
    <w:p w:rsidR="00764C42" w:rsidRPr="00134C2C" w:rsidRDefault="00764C42" w:rsidP="00134C2C">
      <w:p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 xml:space="preserve">(D) From the center of third molar up to its distal face and </w:t>
      </w:r>
    </w:p>
    <w:p w:rsidR="00764C42" w:rsidRPr="00134C2C" w:rsidRDefault="00764C42" w:rsidP="00134C2C">
      <w:p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 xml:space="preserve">(E) Distal from the third molar. </w:t>
      </w:r>
    </w:p>
    <w:p w:rsidR="002F6DAF" w:rsidRPr="00134C2C" w:rsidRDefault="00C31E91" w:rsidP="00134C2C">
      <w:pPr>
        <w:jc w:val="both"/>
        <w:rPr>
          <w:rStyle w:val="A4"/>
          <w:rFonts w:ascii="Times New Roman" w:hAnsi="Times New Roman" w:cs="Times New Roman"/>
          <w:color w:val="auto"/>
          <w:sz w:val="24"/>
          <w:szCs w:val="24"/>
        </w:rPr>
      </w:pPr>
      <w:r w:rsidRPr="00134C2C">
        <w:rPr>
          <w:rStyle w:val="A4"/>
          <w:rFonts w:ascii="Times New Roman" w:hAnsi="Times New Roman" w:cs="Times New Roman"/>
          <w:noProof/>
          <w:color w:val="auto"/>
          <w:sz w:val="24"/>
          <w:szCs w:val="24"/>
        </w:rPr>
        <w:drawing>
          <wp:inline distT="0" distB="0" distL="0" distR="0">
            <wp:extent cx="2609850" cy="2790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2790825"/>
                    </a:xfrm>
                    <a:prstGeom prst="rect">
                      <a:avLst/>
                    </a:prstGeom>
                    <a:noFill/>
                    <a:ln>
                      <a:noFill/>
                    </a:ln>
                  </pic:spPr>
                </pic:pic>
              </a:graphicData>
            </a:graphic>
          </wp:inline>
        </w:drawing>
      </w:r>
      <w:r w:rsidR="002F6DAF" w:rsidRPr="00134C2C">
        <w:rPr>
          <w:rFonts w:ascii="Times New Roman" w:hAnsi="Times New Roman" w:cs="Times New Roman"/>
          <w:noProof/>
          <w:sz w:val="24"/>
          <w:szCs w:val="24"/>
        </w:rPr>
        <w:drawing>
          <wp:inline distT="0" distB="0" distL="0" distR="0" wp14:anchorId="2DC142FB" wp14:editId="50395F3C">
            <wp:extent cx="25908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0800" cy="2781300"/>
                    </a:xfrm>
                    <a:prstGeom prst="rect">
                      <a:avLst/>
                    </a:prstGeom>
                  </pic:spPr>
                </pic:pic>
              </a:graphicData>
            </a:graphic>
          </wp:inline>
        </w:drawing>
      </w:r>
      <w:r w:rsidR="003822E0" w:rsidRPr="00134C2C">
        <w:rPr>
          <w:rStyle w:val="A4"/>
          <w:rFonts w:ascii="Times New Roman" w:hAnsi="Times New Roman" w:cs="Times New Roman"/>
          <w:color w:val="auto"/>
          <w:sz w:val="24"/>
          <w:szCs w:val="24"/>
        </w:rPr>
        <w:t>(Fig 1)</w:t>
      </w:r>
    </w:p>
    <w:p w:rsidR="00764C42" w:rsidRPr="00134C2C" w:rsidRDefault="00764C42" w:rsidP="00134C2C">
      <w:p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 xml:space="preserve"> The exact position of the GPF showing an overlap with the tangents was noted and recorded as JPEG. Coronal a</w:t>
      </w:r>
      <w:r w:rsidR="005C00C2" w:rsidRPr="00134C2C">
        <w:rPr>
          <w:rStyle w:val="A4"/>
          <w:rFonts w:ascii="Times New Roman" w:hAnsi="Times New Roman" w:cs="Times New Roman"/>
          <w:color w:val="auto"/>
          <w:sz w:val="24"/>
          <w:szCs w:val="24"/>
        </w:rPr>
        <w:t xml:space="preserve">nd sagittal reconstruction was </w:t>
      </w:r>
      <w:r w:rsidRPr="00134C2C">
        <w:rPr>
          <w:rStyle w:val="A4"/>
          <w:rFonts w:ascii="Times New Roman" w:hAnsi="Times New Roman" w:cs="Times New Roman"/>
          <w:color w:val="auto"/>
          <w:sz w:val="24"/>
          <w:szCs w:val="24"/>
        </w:rPr>
        <w:t>made to standardize the exa</w:t>
      </w:r>
      <w:r w:rsidR="005C00C2" w:rsidRPr="00134C2C">
        <w:rPr>
          <w:rStyle w:val="A4"/>
          <w:rFonts w:ascii="Times New Roman" w:hAnsi="Times New Roman" w:cs="Times New Roman"/>
          <w:color w:val="auto"/>
          <w:sz w:val="24"/>
          <w:szCs w:val="24"/>
        </w:rPr>
        <w:t xml:space="preserve">ct position of the GPF through </w:t>
      </w:r>
      <w:r w:rsidRPr="00134C2C">
        <w:rPr>
          <w:rStyle w:val="A4"/>
          <w:rFonts w:ascii="Times New Roman" w:hAnsi="Times New Roman" w:cs="Times New Roman"/>
          <w:color w:val="auto"/>
          <w:sz w:val="24"/>
          <w:szCs w:val="24"/>
        </w:rPr>
        <w:t>the intersection of horizontal</w:t>
      </w:r>
      <w:r w:rsidR="005C00C2" w:rsidRPr="00134C2C">
        <w:rPr>
          <w:rStyle w:val="A4"/>
          <w:rFonts w:ascii="Times New Roman" w:hAnsi="Times New Roman" w:cs="Times New Roman"/>
          <w:color w:val="auto"/>
          <w:sz w:val="24"/>
          <w:szCs w:val="24"/>
        </w:rPr>
        <w:t xml:space="preserve"> and vertical markers</w:t>
      </w:r>
      <w:r w:rsidRPr="00134C2C">
        <w:rPr>
          <w:rStyle w:val="A4"/>
          <w:rFonts w:ascii="Times New Roman" w:hAnsi="Times New Roman" w:cs="Times New Roman"/>
          <w:color w:val="auto"/>
          <w:sz w:val="24"/>
          <w:szCs w:val="24"/>
        </w:rPr>
        <w:t>.</w:t>
      </w:r>
    </w:p>
    <w:p w:rsidR="005C00C2" w:rsidRPr="00134C2C" w:rsidRDefault="00C31E91" w:rsidP="00134C2C">
      <w:pPr>
        <w:pStyle w:val="ListParagraph"/>
        <w:numPr>
          <w:ilvl w:val="0"/>
          <w:numId w:val="1"/>
        </w:num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 xml:space="preserve">DIAMETER OF GPF </w:t>
      </w:r>
    </w:p>
    <w:p w:rsidR="005C00C2" w:rsidRPr="00134C2C" w:rsidRDefault="005C00C2" w:rsidP="00134C2C">
      <w:p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 xml:space="preserve">The average diameter of </w:t>
      </w:r>
      <w:r w:rsidR="00B1334E">
        <w:rPr>
          <w:rStyle w:val="A4"/>
          <w:rFonts w:ascii="Times New Roman" w:hAnsi="Times New Roman" w:cs="Times New Roman"/>
          <w:color w:val="auto"/>
          <w:sz w:val="24"/>
          <w:szCs w:val="24"/>
        </w:rPr>
        <w:t>the GPF was determined using</w:t>
      </w:r>
      <w:r w:rsidRPr="00134C2C">
        <w:rPr>
          <w:rStyle w:val="A4"/>
          <w:rFonts w:ascii="Times New Roman" w:hAnsi="Times New Roman" w:cs="Times New Roman"/>
          <w:color w:val="auto"/>
          <w:sz w:val="24"/>
          <w:szCs w:val="24"/>
        </w:rPr>
        <w:t xml:space="preserve"> axial</w:t>
      </w:r>
      <w:r w:rsidR="00B1334E">
        <w:rPr>
          <w:rStyle w:val="A4"/>
          <w:rFonts w:ascii="Times New Roman" w:hAnsi="Times New Roman" w:cs="Times New Roman"/>
          <w:color w:val="auto"/>
          <w:sz w:val="24"/>
          <w:szCs w:val="24"/>
        </w:rPr>
        <w:t xml:space="preserve"> </w:t>
      </w:r>
      <w:r w:rsidR="003822E0" w:rsidRPr="00134C2C">
        <w:rPr>
          <w:rStyle w:val="A4"/>
          <w:rFonts w:ascii="Times New Roman" w:hAnsi="Times New Roman" w:cs="Times New Roman"/>
          <w:color w:val="auto"/>
          <w:sz w:val="24"/>
          <w:szCs w:val="24"/>
        </w:rPr>
        <w:t>reconstruction (Fig.2</w:t>
      </w:r>
      <w:r w:rsidRPr="00134C2C">
        <w:rPr>
          <w:rStyle w:val="A4"/>
          <w:rFonts w:ascii="Times New Roman" w:hAnsi="Times New Roman" w:cs="Times New Roman"/>
          <w:color w:val="auto"/>
          <w:sz w:val="24"/>
          <w:szCs w:val="24"/>
        </w:rPr>
        <w:t>).</w:t>
      </w:r>
    </w:p>
    <w:p w:rsidR="002F6DAF" w:rsidRPr="00134C2C" w:rsidRDefault="002F6DAF" w:rsidP="00134C2C">
      <w:pPr>
        <w:jc w:val="both"/>
        <w:rPr>
          <w:rStyle w:val="A4"/>
          <w:rFonts w:ascii="Times New Roman" w:hAnsi="Times New Roman" w:cs="Times New Roman"/>
          <w:color w:val="auto"/>
          <w:sz w:val="24"/>
          <w:szCs w:val="24"/>
        </w:rPr>
      </w:pPr>
      <w:r w:rsidRPr="00134C2C">
        <w:rPr>
          <w:rFonts w:ascii="Times New Roman" w:hAnsi="Times New Roman" w:cs="Times New Roman"/>
          <w:noProof/>
          <w:sz w:val="24"/>
          <w:szCs w:val="24"/>
        </w:rPr>
        <w:lastRenderedPageBreak/>
        <w:drawing>
          <wp:inline distT="0" distB="0" distL="0" distR="0" wp14:anchorId="4767C2B5" wp14:editId="69A2485F">
            <wp:extent cx="3019425" cy="298315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2543" cy="2986237"/>
                    </a:xfrm>
                    <a:prstGeom prst="rect">
                      <a:avLst/>
                    </a:prstGeom>
                  </pic:spPr>
                </pic:pic>
              </a:graphicData>
            </a:graphic>
          </wp:inline>
        </w:drawing>
      </w:r>
      <w:r w:rsidR="003822E0" w:rsidRPr="00134C2C">
        <w:rPr>
          <w:rStyle w:val="A4"/>
          <w:rFonts w:ascii="Times New Roman" w:hAnsi="Times New Roman" w:cs="Times New Roman"/>
          <w:color w:val="auto"/>
          <w:sz w:val="24"/>
          <w:szCs w:val="24"/>
        </w:rPr>
        <w:t>(Fig 2)</w:t>
      </w:r>
    </w:p>
    <w:p w:rsidR="005C00C2" w:rsidRDefault="00C31E91" w:rsidP="00134C2C">
      <w:pPr>
        <w:pStyle w:val="ListParagraph"/>
        <w:numPr>
          <w:ilvl w:val="0"/>
          <w:numId w:val="1"/>
        </w:num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 xml:space="preserve">DISTANCE FROM GPF TO MMS </w:t>
      </w:r>
    </w:p>
    <w:p w:rsidR="005C00C2" w:rsidRPr="00134C2C" w:rsidRDefault="005672F1" w:rsidP="005672F1">
      <w:pPr>
        <w:pStyle w:val="ListParagraph"/>
        <w:jc w:val="both"/>
        <w:rPr>
          <w:rStyle w:val="A4"/>
          <w:rFonts w:ascii="Times New Roman" w:hAnsi="Times New Roman" w:cs="Times New Roman"/>
          <w:color w:val="auto"/>
          <w:sz w:val="24"/>
          <w:szCs w:val="24"/>
        </w:rPr>
      </w:pPr>
      <w:r w:rsidRPr="00134C2C">
        <w:rPr>
          <w:rFonts w:ascii="Times New Roman" w:hAnsi="Times New Roman" w:cs="Times New Roman"/>
          <w:sz w:val="24"/>
          <w:szCs w:val="24"/>
        </w:rPr>
        <w:t>The study of anatomical landmarks such as the AR and the MMS is important because they can be used as a reference points to locate GPF in edentulous patients. Distance to AR and to MMS could be used to assess the location of GPF before anesthesia block or incision to harvest palatal mucosa graft.</w:t>
      </w:r>
      <w:r>
        <w:rPr>
          <w:rFonts w:ascii="Times New Roman" w:hAnsi="Times New Roman" w:cs="Times New Roman"/>
          <w:sz w:val="24"/>
          <w:szCs w:val="24"/>
        </w:rPr>
        <w:t xml:space="preserve"> </w:t>
      </w:r>
      <w:r w:rsidR="00B1334E">
        <w:rPr>
          <w:rStyle w:val="A4"/>
          <w:rFonts w:ascii="Times New Roman" w:hAnsi="Times New Roman" w:cs="Times New Roman"/>
          <w:color w:val="auto"/>
          <w:sz w:val="24"/>
          <w:szCs w:val="24"/>
        </w:rPr>
        <w:t xml:space="preserve">Axial sections </w:t>
      </w:r>
      <w:r w:rsidR="005C00C2" w:rsidRPr="00134C2C">
        <w:rPr>
          <w:rStyle w:val="A4"/>
          <w:rFonts w:ascii="Times New Roman" w:hAnsi="Times New Roman" w:cs="Times New Roman"/>
          <w:color w:val="auto"/>
          <w:sz w:val="24"/>
          <w:szCs w:val="24"/>
        </w:rPr>
        <w:t xml:space="preserve">were created to evaluate the distance from the GPF to the MMS. In the axial reconstruction, a perpendicular line was drawn from the center </w:t>
      </w:r>
      <w:r w:rsidR="00B1334E">
        <w:rPr>
          <w:rStyle w:val="A4"/>
          <w:rFonts w:ascii="Times New Roman" w:hAnsi="Times New Roman" w:cs="Times New Roman"/>
          <w:color w:val="auto"/>
          <w:sz w:val="24"/>
          <w:szCs w:val="24"/>
        </w:rPr>
        <w:t>of the GPF to the MMS (Fig. 3</w:t>
      </w:r>
      <w:r w:rsidR="005C00C2" w:rsidRPr="00134C2C">
        <w:rPr>
          <w:rStyle w:val="A4"/>
          <w:rFonts w:ascii="Times New Roman" w:hAnsi="Times New Roman" w:cs="Times New Roman"/>
          <w:color w:val="auto"/>
          <w:sz w:val="24"/>
          <w:szCs w:val="24"/>
        </w:rPr>
        <w:t xml:space="preserve">). </w:t>
      </w:r>
      <w:r w:rsidR="00B1334E">
        <w:rPr>
          <w:rStyle w:val="A4"/>
          <w:rFonts w:ascii="Times New Roman" w:hAnsi="Times New Roman" w:cs="Times New Roman"/>
          <w:color w:val="auto"/>
          <w:sz w:val="24"/>
          <w:szCs w:val="24"/>
        </w:rPr>
        <w:t xml:space="preserve">The resulting distance </w:t>
      </w:r>
      <w:r w:rsidR="005C00C2" w:rsidRPr="00134C2C">
        <w:rPr>
          <w:rStyle w:val="A4"/>
          <w:rFonts w:ascii="Times New Roman" w:hAnsi="Times New Roman" w:cs="Times New Roman"/>
          <w:color w:val="auto"/>
          <w:sz w:val="24"/>
          <w:szCs w:val="24"/>
        </w:rPr>
        <w:t xml:space="preserve">from each reconstruction was calculated. </w:t>
      </w:r>
    </w:p>
    <w:p w:rsidR="00601C92" w:rsidRPr="00134C2C" w:rsidRDefault="00601C92" w:rsidP="00134C2C">
      <w:p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w:t>
      </w:r>
      <w:r w:rsidRPr="00134C2C">
        <w:rPr>
          <w:rFonts w:ascii="Times New Roman" w:hAnsi="Times New Roman" w:cs="Times New Roman"/>
          <w:noProof/>
          <w:sz w:val="24"/>
          <w:szCs w:val="24"/>
        </w:rPr>
        <w:drawing>
          <wp:inline distT="0" distB="0" distL="0" distR="0" wp14:anchorId="2B5925C4" wp14:editId="759F1F65">
            <wp:extent cx="3190875" cy="2476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0875" cy="2476500"/>
                    </a:xfrm>
                    <a:prstGeom prst="rect">
                      <a:avLst/>
                    </a:prstGeom>
                  </pic:spPr>
                </pic:pic>
              </a:graphicData>
            </a:graphic>
          </wp:inline>
        </w:drawing>
      </w:r>
      <w:r w:rsidR="003822E0" w:rsidRPr="00134C2C">
        <w:rPr>
          <w:rStyle w:val="A4"/>
          <w:rFonts w:ascii="Times New Roman" w:hAnsi="Times New Roman" w:cs="Times New Roman"/>
          <w:color w:val="auto"/>
          <w:sz w:val="24"/>
          <w:szCs w:val="24"/>
        </w:rPr>
        <w:t>(fig 3)</w:t>
      </w:r>
    </w:p>
    <w:p w:rsidR="005B2648" w:rsidRDefault="005B2648" w:rsidP="005B2648">
      <w:pPr>
        <w:pStyle w:val="ListParagraph"/>
        <w:jc w:val="both"/>
        <w:rPr>
          <w:rStyle w:val="A4"/>
          <w:rFonts w:ascii="Times New Roman" w:hAnsi="Times New Roman" w:cs="Times New Roman"/>
          <w:color w:val="auto"/>
          <w:sz w:val="24"/>
          <w:szCs w:val="24"/>
        </w:rPr>
      </w:pPr>
    </w:p>
    <w:p w:rsidR="005C00C2" w:rsidRPr="00134C2C" w:rsidRDefault="00C31E91" w:rsidP="00134C2C">
      <w:pPr>
        <w:pStyle w:val="ListParagraph"/>
        <w:numPr>
          <w:ilvl w:val="0"/>
          <w:numId w:val="1"/>
        </w:num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 xml:space="preserve">DISTANCE FROM AR TO GPF </w:t>
      </w:r>
    </w:p>
    <w:p w:rsidR="005C00C2" w:rsidRPr="00134C2C" w:rsidRDefault="005C00C2" w:rsidP="00134C2C">
      <w:p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 xml:space="preserve">             Distance from the GPF to the AR was measured in the axial reconstruction. In the depth of the upper molars, a line was drawn tangential to the AR. Following this, a perpendicular line </w:t>
      </w:r>
      <w:r w:rsidRPr="00134C2C">
        <w:rPr>
          <w:rStyle w:val="A4"/>
          <w:rFonts w:ascii="Times New Roman" w:hAnsi="Times New Roman" w:cs="Times New Roman"/>
          <w:color w:val="auto"/>
          <w:sz w:val="24"/>
          <w:szCs w:val="24"/>
        </w:rPr>
        <w:lastRenderedPageBreak/>
        <w:t>was drawn in the depth of the GPF and the distance was determined from the A</w:t>
      </w:r>
      <w:r w:rsidR="003822E0" w:rsidRPr="00134C2C">
        <w:rPr>
          <w:rStyle w:val="A4"/>
          <w:rFonts w:ascii="Times New Roman" w:hAnsi="Times New Roman" w:cs="Times New Roman"/>
          <w:color w:val="auto"/>
          <w:sz w:val="24"/>
          <w:szCs w:val="24"/>
        </w:rPr>
        <w:t>R to the medial GPF wall (Fig. 4</w:t>
      </w:r>
      <w:r w:rsidRPr="00134C2C">
        <w:rPr>
          <w:rStyle w:val="A4"/>
          <w:rFonts w:ascii="Times New Roman" w:hAnsi="Times New Roman" w:cs="Times New Roman"/>
          <w:color w:val="auto"/>
          <w:sz w:val="24"/>
          <w:szCs w:val="24"/>
        </w:rPr>
        <w:t>).</w:t>
      </w:r>
    </w:p>
    <w:p w:rsidR="002F6DAF" w:rsidRPr="00134C2C" w:rsidRDefault="002F6DAF" w:rsidP="00134C2C">
      <w:pPr>
        <w:jc w:val="both"/>
        <w:rPr>
          <w:rStyle w:val="A4"/>
          <w:rFonts w:ascii="Times New Roman" w:hAnsi="Times New Roman" w:cs="Times New Roman"/>
          <w:color w:val="auto"/>
          <w:sz w:val="24"/>
          <w:szCs w:val="24"/>
        </w:rPr>
      </w:pPr>
      <w:r w:rsidRPr="00134C2C">
        <w:rPr>
          <w:rFonts w:ascii="Times New Roman" w:hAnsi="Times New Roman" w:cs="Times New Roman"/>
          <w:noProof/>
          <w:sz w:val="24"/>
          <w:szCs w:val="24"/>
        </w:rPr>
        <w:drawing>
          <wp:inline distT="0" distB="0" distL="0" distR="0" wp14:anchorId="21D0A341" wp14:editId="474CBD43">
            <wp:extent cx="2809875" cy="2924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9875" cy="2924175"/>
                    </a:xfrm>
                    <a:prstGeom prst="rect">
                      <a:avLst/>
                    </a:prstGeom>
                  </pic:spPr>
                </pic:pic>
              </a:graphicData>
            </a:graphic>
          </wp:inline>
        </w:drawing>
      </w:r>
      <w:r w:rsidRPr="00134C2C">
        <w:rPr>
          <w:rFonts w:ascii="Times New Roman" w:hAnsi="Times New Roman" w:cs="Times New Roman"/>
          <w:noProof/>
          <w:sz w:val="24"/>
          <w:szCs w:val="24"/>
        </w:rPr>
        <w:drawing>
          <wp:inline distT="0" distB="0" distL="0" distR="0" wp14:anchorId="24CE8C65" wp14:editId="3D97996B">
            <wp:extent cx="2943225" cy="2924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3225" cy="2924175"/>
                    </a:xfrm>
                    <a:prstGeom prst="rect">
                      <a:avLst/>
                    </a:prstGeom>
                  </pic:spPr>
                </pic:pic>
              </a:graphicData>
            </a:graphic>
          </wp:inline>
        </w:drawing>
      </w:r>
      <w:r w:rsidR="003822E0" w:rsidRPr="00134C2C">
        <w:rPr>
          <w:rStyle w:val="A4"/>
          <w:rFonts w:ascii="Times New Roman" w:hAnsi="Times New Roman" w:cs="Times New Roman"/>
          <w:color w:val="auto"/>
          <w:sz w:val="24"/>
          <w:szCs w:val="24"/>
        </w:rPr>
        <w:t>(Fig 4)</w:t>
      </w:r>
    </w:p>
    <w:p w:rsidR="005C00C2" w:rsidRPr="00134C2C" w:rsidRDefault="00C31E91" w:rsidP="00134C2C">
      <w:pPr>
        <w:pStyle w:val="ListParagraph"/>
        <w:numPr>
          <w:ilvl w:val="0"/>
          <w:numId w:val="1"/>
        </w:num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THE MEAN CANAL LENGTH(CL) OF GREATER PALATINE CANAL</w:t>
      </w:r>
    </w:p>
    <w:p w:rsidR="00CB6D5A" w:rsidRPr="00134C2C" w:rsidRDefault="005C00C2" w:rsidP="00134C2C">
      <w:p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 xml:space="preserve">           The method described by Haward-Swirzinski, et al.</w:t>
      </w:r>
      <w:r w:rsidRPr="00134C2C">
        <w:rPr>
          <w:rStyle w:val="A4"/>
          <w:rFonts w:ascii="Times New Roman" w:hAnsi="Times New Roman" w:cs="Times New Roman"/>
          <w:color w:val="auto"/>
          <w:sz w:val="24"/>
          <w:szCs w:val="24"/>
          <w:vertAlign w:val="superscript"/>
        </w:rPr>
        <w:t>[</w:t>
      </w:r>
      <w:r w:rsidR="003822E0" w:rsidRPr="00134C2C">
        <w:rPr>
          <w:rStyle w:val="A4"/>
          <w:rFonts w:ascii="Times New Roman" w:hAnsi="Times New Roman" w:cs="Times New Roman"/>
          <w:color w:val="auto"/>
          <w:sz w:val="24"/>
          <w:szCs w:val="24"/>
          <w:vertAlign w:val="superscript"/>
        </w:rPr>
        <w:t>5</w:t>
      </w:r>
      <w:r w:rsidRPr="00134C2C">
        <w:rPr>
          <w:rStyle w:val="A4"/>
          <w:rFonts w:ascii="Times New Roman" w:hAnsi="Times New Roman" w:cs="Times New Roman"/>
          <w:color w:val="auto"/>
          <w:sz w:val="24"/>
          <w:szCs w:val="24"/>
          <w:vertAlign w:val="superscript"/>
        </w:rPr>
        <w:t xml:space="preserve">] </w:t>
      </w:r>
      <w:r w:rsidRPr="00134C2C">
        <w:rPr>
          <w:rStyle w:val="A4"/>
          <w:rFonts w:ascii="Times New Roman" w:hAnsi="Times New Roman" w:cs="Times New Roman"/>
          <w:color w:val="auto"/>
          <w:sz w:val="24"/>
          <w:szCs w:val="24"/>
        </w:rPr>
        <w:t>was used to assess the CL and</w:t>
      </w:r>
      <w:r w:rsidR="00B1334E">
        <w:rPr>
          <w:rStyle w:val="A4"/>
          <w:rFonts w:ascii="Times New Roman" w:hAnsi="Times New Roman" w:cs="Times New Roman"/>
          <w:color w:val="auto"/>
          <w:sz w:val="24"/>
          <w:szCs w:val="24"/>
        </w:rPr>
        <w:t xml:space="preserve"> its paths insagittal plane</w:t>
      </w:r>
      <w:r w:rsidRPr="00134C2C">
        <w:rPr>
          <w:rStyle w:val="A4"/>
          <w:rFonts w:ascii="Times New Roman" w:hAnsi="Times New Roman" w:cs="Times New Roman"/>
          <w:color w:val="auto"/>
          <w:sz w:val="24"/>
          <w:szCs w:val="24"/>
        </w:rPr>
        <w:t xml:space="preserve">. </w:t>
      </w:r>
      <w:r w:rsidR="00CB6D5A" w:rsidRPr="00134C2C">
        <w:rPr>
          <w:rStyle w:val="A4"/>
          <w:rFonts w:ascii="Times New Roman" w:hAnsi="Times New Roman" w:cs="Times New Roman"/>
          <w:color w:val="auto"/>
          <w:sz w:val="24"/>
          <w:szCs w:val="24"/>
        </w:rPr>
        <w:t>The length of the greater palatine canal was measured from the center of the pterygoid canal, as the center point of the pterygopalatine fossa to the greater palatine foramen on the inferior surface of the hard palate. It was measured in millimeters using the straightest linear path passing through the center of the canal</w:t>
      </w:r>
      <w:r w:rsidR="003D7D15" w:rsidRPr="00134C2C">
        <w:rPr>
          <w:rStyle w:val="A4"/>
          <w:rFonts w:ascii="Times New Roman" w:hAnsi="Times New Roman" w:cs="Times New Roman"/>
          <w:color w:val="auto"/>
          <w:sz w:val="24"/>
          <w:szCs w:val="24"/>
        </w:rPr>
        <w:t>. (</w:t>
      </w:r>
      <w:r w:rsidR="003822E0" w:rsidRPr="00134C2C">
        <w:rPr>
          <w:rStyle w:val="A4"/>
          <w:rFonts w:ascii="Times New Roman" w:hAnsi="Times New Roman" w:cs="Times New Roman"/>
          <w:color w:val="auto"/>
          <w:sz w:val="24"/>
          <w:szCs w:val="24"/>
        </w:rPr>
        <w:t>Fig 5)</w:t>
      </w:r>
    </w:p>
    <w:p w:rsidR="00980FDF" w:rsidRPr="00134C2C" w:rsidRDefault="00980FDF" w:rsidP="00134C2C">
      <w:pPr>
        <w:jc w:val="both"/>
        <w:rPr>
          <w:rStyle w:val="A4"/>
          <w:rFonts w:ascii="Times New Roman" w:hAnsi="Times New Roman" w:cs="Times New Roman"/>
          <w:color w:val="auto"/>
          <w:sz w:val="24"/>
          <w:szCs w:val="24"/>
        </w:rPr>
      </w:pPr>
      <w:r w:rsidRPr="00134C2C">
        <w:rPr>
          <w:rFonts w:ascii="Times New Roman" w:hAnsi="Times New Roman" w:cs="Times New Roman"/>
          <w:noProof/>
          <w:sz w:val="24"/>
          <w:szCs w:val="24"/>
        </w:rPr>
        <w:drawing>
          <wp:inline distT="0" distB="0" distL="0" distR="0" wp14:anchorId="6D19C27A" wp14:editId="3103C87E">
            <wp:extent cx="2895600" cy="1914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5600" cy="1914525"/>
                    </a:xfrm>
                    <a:prstGeom prst="rect">
                      <a:avLst/>
                    </a:prstGeom>
                  </pic:spPr>
                </pic:pic>
              </a:graphicData>
            </a:graphic>
          </wp:inline>
        </w:drawing>
      </w:r>
      <w:r w:rsidRPr="00134C2C">
        <w:rPr>
          <w:rStyle w:val="A4"/>
          <w:rFonts w:ascii="Times New Roman" w:hAnsi="Times New Roman" w:cs="Times New Roman"/>
          <w:color w:val="auto"/>
          <w:sz w:val="24"/>
          <w:szCs w:val="24"/>
        </w:rPr>
        <w:t>(Fig 5)</w:t>
      </w:r>
    </w:p>
    <w:p w:rsidR="003921F3" w:rsidRPr="00134C2C" w:rsidRDefault="00C31E91" w:rsidP="00134C2C">
      <w:pPr>
        <w:pStyle w:val="ListParagraph"/>
        <w:numPr>
          <w:ilvl w:val="0"/>
          <w:numId w:val="1"/>
        </w:num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THE PATHWAYS OF GREATER PALATINE CANAL IN THE CORONAL PLANE</w:t>
      </w:r>
    </w:p>
    <w:p w:rsidR="003921F3" w:rsidRPr="00134C2C" w:rsidRDefault="00C31E91" w:rsidP="00134C2C">
      <w:pPr>
        <w:pStyle w:val="ListParagraph"/>
        <w:numPr>
          <w:ilvl w:val="0"/>
          <w:numId w:val="1"/>
        </w:numPr>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THE PATHWAYS OF GREATER PALATINE CANAL IN THE SAGITTAL PLANE</w:t>
      </w:r>
    </w:p>
    <w:p w:rsidR="005672F1" w:rsidRDefault="005672F1" w:rsidP="005672F1">
      <w:pPr>
        <w:tabs>
          <w:tab w:val="left" w:pos="1380"/>
        </w:tabs>
        <w:jc w:val="both"/>
        <w:rPr>
          <w:rStyle w:val="A4"/>
          <w:rFonts w:ascii="Times New Roman" w:hAnsi="Times New Roman" w:cs="Times New Roman"/>
          <w:color w:val="auto"/>
          <w:sz w:val="24"/>
          <w:szCs w:val="24"/>
        </w:rPr>
      </w:pPr>
    </w:p>
    <w:p w:rsidR="005672F1" w:rsidRDefault="005672F1" w:rsidP="005672F1">
      <w:pPr>
        <w:tabs>
          <w:tab w:val="left" w:pos="1380"/>
        </w:tabs>
        <w:jc w:val="both"/>
        <w:rPr>
          <w:rStyle w:val="A4"/>
          <w:rFonts w:ascii="Times New Roman" w:hAnsi="Times New Roman" w:cs="Times New Roman"/>
          <w:color w:val="auto"/>
          <w:sz w:val="24"/>
          <w:szCs w:val="24"/>
        </w:rPr>
      </w:pPr>
    </w:p>
    <w:p w:rsidR="005672F1" w:rsidRDefault="00FE0E86" w:rsidP="005672F1">
      <w:pPr>
        <w:tabs>
          <w:tab w:val="left" w:pos="1380"/>
        </w:tabs>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lastRenderedPageBreak/>
        <w:t>STATISTICAL ANALYSIS</w:t>
      </w:r>
    </w:p>
    <w:p w:rsidR="005672F1" w:rsidRDefault="00FE0E86" w:rsidP="005672F1">
      <w:pPr>
        <w:tabs>
          <w:tab w:val="left" w:pos="1380"/>
        </w:tabs>
        <w:jc w:val="both"/>
        <w:rPr>
          <w:rStyle w:val="A4"/>
          <w:rFonts w:ascii="Times New Roman" w:hAnsi="Times New Roman" w:cs="Times New Roman"/>
          <w:sz w:val="24"/>
          <w:szCs w:val="24"/>
        </w:rPr>
      </w:pPr>
      <w:r w:rsidRPr="00134C2C">
        <w:rPr>
          <w:rStyle w:val="A4"/>
          <w:rFonts w:ascii="Times New Roman" w:hAnsi="Times New Roman" w:cs="Times New Roman"/>
          <w:sz w:val="24"/>
          <w:szCs w:val="24"/>
        </w:rPr>
        <w:t xml:space="preserve"> The analysis was conducted using the distance measuring tool of CS 3 D software and the images were saved as JPEG.</w:t>
      </w:r>
      <w:r w:rsidR="00D123B4" w:rsidRPr="00D123B4">
        <w:rPr>
          <w:rStyle w:val="A4"/>
          <w:rFonts w:ascii="Times New Roman" w:hAnsi="Times New Roman" w:cs="Times New Roman"/>
          <w:sz w:val="24"/>
          <w:szCs w:val="24"/>
        </w:rPr>
        <w:t xml:space="preserve"> </w:t>
      </w:r>
      <w:r w:rsidR="00D123B4" w:rsidRPr="00134C2C">
        <w:rPr>
          <w:rStyle w:val="A4"/>
          <w:rFonts w:ascii="Times New Roman" w:hAnsi="Times New Roman" w:cs="Times New Roman"/>
          <w:sz w:val="24"/>
          <w:szCs w:val="24"/>
        </w:rPr>
        <w:t xml:space="preserve">The measurements were repeated 2 months later and intra-examiner agreement was performed (Dahlberg’s error and paired T test). </w:t>
      </w:r>
      <w:r w:rsidRPr="00134C2C">
        <w:rPr>
          <w:rStyle w:val="A4"/>
          <w:rFonts w:ascii="Times New Roman" w:hAnsi="Times New Roman" w:cs="Times New Roman"/>
          <w:sz w:val="24"/>
          <w:szCs w:val="24"/>
        </w:rPr>
        <w:t xml:space="preserve"> All data were evaluated using SPSS software version 19 pac</w:t>
      </w:r>
      <w:r w:rsidR="00955A99" w:rsidRPr="00134C2C">
        <w:rPr>
          <w:rStyle w:val="A4"/>
          <w:rFonts w:ascii="Times New Roman" w:hAnsi="Times New Roman" w:cs="Times New Roman"/>
          <w:sz w:val="24"/>
          <w:szCs w:val="24"/>
        </w:rPr>
        <w:t>kage</w:t>
      </w:r>
      <w:r w:rsidRPr="00134C2C">
        <w:rPr>
          <w:rStyle w:val="A4"/>
          <w:rFonts w:ascii="Times New Roman" w:hAnsi="Times New Roman" w:cs="Times New Roman"/>
          <w:sz w:val="24"/>
          <w:szCs w:val="24"/>
        </w:rPr>
        <w:t xml:space="preserve">. </w:t>
      </w:r>
    </w:p>
    <w:p w:rsidR="003921F3" w:rsidRPr="00134C2C" w:rsidRDefault="005672F1" w:rsidP="00134C2C">
      <w:pPr>
        <w:tabs>
          <w:tab w:val="left" w:pos="1380"/>
        </w:tabs>
        <w:jc w:val="both"/>
        <w:rPr>
          <w:rStyle w:val="A4"/>
          <w:rFonts w:ascii="Times New Roman" w:hAnsi="Times New Roman" w:cs="Times New Roman"/>
          <w:color w:val="auto"/>
          <w:sz w:val="24"/>
          <w:szCs w:val="24"/>
        </w:rPr>
      </w:pPr>
      <w:r>
        <w:rPr>
          <w:rStyle w:val="A4"/>
          <w:rFonts w:ascii="Times New Roman" w:hAnsi="Times New Roman" w:cs="Times New Roman"/>
          <w:sz w:val="24"/>
          <w:szCs w:val="24"/>
        </w:rPr>
        <w:t xml:space="preserve">                    </w:t>
      </w:r>
      <w:r w:rsidR="00955A99" w:rsidRPr="00134C2C">
        <w:rPr>
          <w:rStyle w:val="A4"/>
          <w:rFonts w:ascii="Times New Roman" w:hAnsi="Times New Roman" w:cs="Times New Roman"/>
          <w:sz w:val="24"/>
          <w:szCs w:val="24"/>
        </w:rPr>
        <w:t xml:space="preserve">A paired T test (P </w:t>
      </w:r>
      <w:r w:rsidR="00FE0E86" w:rsidRPr="00134C2C">
        <w:rPr>
          <w:rStyle w:val="A4"/>
          <w:rFonts w:ascii="Times New Roman" w:hAnsi="Times New Roman" w:cs="Times New Roman"/>
          <w:sz w:val="24"/>
          <w:szCs w:val="24"/>
        </w:rPr>
        <w:t>0.05) was conducted to compare the measurements from the right and left side, and a T test was conducted to compare the</w:t>
      </w:r>
      <w:r>
        <w:rPr>
          <w:rStyle w:val="A4"/>
          <w:rFonts w:ascii="Times New Roman" w:hAnsi="Times New Roman" w:cs="Times New Roman"/>
          <w:sz w:val="24"/>
          <w:szCs w:val="24"/>
        </w:rPr>
        <w:t xml:space="preserve"> values between the sexes.</w:t>
      </w:r>
      <w:r w:rsidR="00D123B4">
        <w:rPr>
          <w:rStyle w:val="A4"/>
          <w:rFonts w:ascii="Times New Roman" w:hAnsi="Times New Roman" w:cs="Times New Roman"/>
          <w:sz w:val="24"/>
          <w:szCs w:val="24"/>
        </w:rPr>
        <w:t xml:space="preserve"> </w:t>
      </w:r>
      <w:r w:rsidR="00FE0E86" w:rsidRPr="00134C2C">
        <w:rPr>
          <w:rStyle w:val="A4"/>
          <w:rFonts w:ascii="Times New Roman" w:hAnsi="Times New Roman" w:cs="Times New Roman"/>
          <w:color w:val="auto"/>
          <w:sz w:val="24"/>
          <w:szCs w:val="24"/>
        </w:rPr>
        <w:t xml:space="preserve">Independent t-test was used to compare the CL values and the distance from GPF to MMS and AR. One-way analysis of variance (ANOVA) was used to compare </w:t>
      </w:r>
      <w:r w:rsidR="001E40E4">
        <w:rPr>
          <w:rStyle w:val="A4"/>
          <w:rFonts w:ascii="Times New Roman" w:hAnsi="Times New Roman" w:cs="Times New Roman"/>
          <w:color w:val="auto"/>
          <w:sz w:val="24"/>
          <w:szCs w:val="24"/>
        </w:rPr>
        <w:t>the CL and IOF between the two</w:t>
      </w:r>
      <w:bookmarkStart w:id="0" w:name="_GoBack"/>
      <w:bookmarkEnd w:id="0"/>
      <w:r w:rsidR="00FE0E86" w:rsidRPr="00134C2C">
        <w:rPr>
          <w:rStyle w:val="A4"/>
          <w:rFonts w:ascii="Times New Roman" w:hAnsi="Times New Roman" w:cs="Times New Roman"/>
          <w:color w:val="auto"/>
          <w:sz w:val="24"/>
          <w:szCs w:val="24"/>
        </w:rPr>
        <w:t xml:space="preserve"> study groups. To identify the level of agreement between the CL on the right and left sides, an intra-class correlation coefficient (ICC) was used. A kappa coefficient was used to identify the degree of symmetry between the pathways on the right and left sides as viewed in t</w:t>
      </w:r>
      <w:r w:rsidR="0050460D">
        <w:rPr>
          <w:rStyle w:val="A4"/>
          <w:rFonts w:ascii="Times New Roman" w:hAnsi="Times New Roman" w:cs="Times New Roman"/>
          <w:color w:val="auto"/>
          <w:sz w:val="24"/>
          <w:szCs w:val="24"/>
        </w:rPr>
        <w:t>he sagittal and coronal planes. A kappa values were considered as follow</w:t>
      </w:r>
      <w:r w:rsidR="00B1334E">
        <w:rPr>
          <w:rStyle w:val="A4"/>
          <w:rFonts w:ascii="Times New Roman" w:hAnsi="Times New Roman" w:cs="Times New Roman"/>
          <w:color w:val="auto"/>
          <w:sz w:val="24"/>
          <w:szCs w:val="24"/>
        </w:rPr>
        <w:t>s</w:t>
      </w:r>
      <w:r w:rsidR="0050460D">
        <w:rPr>
          <w:rStyle w:val="A4"/>
          <w:rFonts w:ascii="Times New Roman" w:hAnsi="Times New Roman" w:cs="Times New Roman"/>
          <w:color w:val="auto"/>
          <w:sz w:val="24"/>
          <w:szCs w:val="24"/>
        </w:rPr>
        <w:t xml:space="preserve"> &lt; 0.20 poor, 0.21-0.40 fair,</w:t>
      </w:r>
      <w:r w:rsidR="003D7D15">
        <w:rPr>
          <w:rStyle w:val="A4"/>
          <w:rFonts w:ascii="Times New Roman" w:hAnsi="Times New Roman" w:cs="Times New Roman"/>
          <w:color w:val="auto"/>
          <w:sz w:val="24"/>
          <w:szCs w:val="24"/>
        </w:rPr>
        <w:t xml:space="preserve"> </w:t>
      </w:r>
      <w:r w:rsidR="0050460D">
        <w:rPr>
          <w:rStyle w:val="A4"/>
          <w:rFonts w:ascii="Times New Roman" w:hAnsi="Times New Roman" w:cs="Times New Roman"/>
          <w:color w:val="auto"/>
          <w:sz w:val="24"/>
          <w:szCs w:val="24"/>
        </w:rPr>
        <w:t>0.41</w:t>
      </w:r>
      <w:r w:rsidR="003D7D15">
        <w:rPr>
          <w:rStyle w:val="A4"/>
          <w:rFonts w:ascii="Times New Roman" w:hAnsi="Times New Roman" w:cs="Times New Roman"/>
          <w:color w:val="auto"/>
          <w:sz w:val="24"/>
          <w:szCs w:val="24"/>
        </w:rPr>
        <w:t>-0.60 moderate, 0.61-0.80 good and 0.81</w:t>
      </w:r>
      <w:r w:rsidR="0050460D">
        <w:rPr>
          <w:rStyle w:val="A4"/>
          <w:rFonts w:ascii="Times New Roman" w:hAnsi="Times New Roman" w:cs="Times New Roman"/>
          <w:color w:val="auto"/>
          <w:sz w:val="24"/>
          <w:szCs w:val="24"/>
        </w:rPr>
        <w:t xml:space="preserve">-1.00 very good. </w:t>
      </w:r>
      <w:r w:rsidR="00FE0E86" w:rsidRPr="00134C2C">
        <w:rPr>
          <w:rStyle w:val="A4"/>
          <w:rFonts w:ascii="Times New Roman" w:hAnsi="Times New Roman" w:cs="Times New Roman"/>
          <w:color w:val="auto"/>
          <w:sz w:val="24"/>
          <w:szCs w:val="24"/>
        </w:rPr>
        <w:t xml:space="preserve">A P-value less than the 0.05 level of significance was considered statistically significant. Further Discriminant analysis (ROC analysis) was used to assess the validity of linear measurements used in this study in differentiation of male gender from female according to </w:t>
      </w:r>
      <w:r w:rsidR="0050460D">
        <w:rPr>
          <w:rStyle w:val="A4"/>
          <w:rFonts w:ascii="Times New Roman" w:hAnsi="Times New Roman" w:cs="Times New Roman"/>
          <w:color w:val="auto"/>
          <w:sz w:val="24"/>
          <w:szCs w:val="24"/>
        </w:rPr>
        <w:t>method given by Sorlie</w:t>
      </w:r>
      <w:r w:rsidR="00FE0E86" w:rsidRPr="00134C2C">
        <w:rPr>
          <w:rStyle w:val="A4"/>
          <w:rFonts w:ascii="Times New Roman" w:hAnsi="Times New Roman" w:cs="Times New Roman"/>
          <w:color w:val="auto"/>
          <w:sz w:val="24"/>
          <w:szCs w:val="24"/>
        </w:rPr>
        <w:t>(1995).</w:t>
      </w:r>
      <w:r w:rsidR="003822E0" w:rsidRPr="00134C2C">
        <w:rPr>
          <w:rStyle w:val="A4"/>
          <w:rFonts w:ascii="Times New Roman" w:hAnsi="Times New Roman" w:cs="Times New Roman"/>
          <w:color w:val="auto"/>
          <w:sz w:val="24"/>
          <w:szCs w:val="24"/>
          <w:vertAlign w:val="superscript"/>
        </w:rPr>
        <w:t>14</w:t>
      </w:r>
      <w:r w:rsidR="0050460D" w:rsidRPr="0050460D">
        <w:rPr>
          <w:noProof/>
        </w:rPr>
        <w:t xml:space="preserve"> </w:t>
      </w:r>
    </w:p>
    <w:p w:rsidR="00FE0E86" w:rsidRPr="00134C2C" w:rsidRDefault="00FE0E86" w:rsidP="00134C2C">
      <w:pPr>
        <w:tabs>
          <w:tab w:val="left" w:pos="1380"/>
        </w:tabs>
        <w:jc w:val="both"/>
        <w:rPr>
          <w:rStyle w:val="A4"/>
          <w:rFonts w:ascii="Times New Roman" w:hAnsi="Times New Roman" w:cs="Times New Roman"/>
          <w:b/>
          <w:color w:val="auto"/>
          <w:sz w:val="24"/>
          <w:szCs w:val="24"/>
        </w:rPr>
      </w:pPr>
      <w:r w:rsidRPr="00134C2C">
        <w:rPr>
          <w:rStyle w:val="A4"/>
          <w:rFonts w:ascii="Times New Roman" w:hAnsi="Times New Roman" w:cs="Times New Roman"/>
          <w:b/>
          <w:color w:val="auto"/>
          <w:sz w:val="24"/>
          <w:szCs w:val="24"/>
        </w:rPr>
        <w:t>RESULTS</w:t>
      </w:r>
    </w:p>
    <w:p w:rsidR="00777107" w:rsidRPr="00134C2C" w:rsidRDefault="00777107" w:rsidP="00134C2C">
      <w:pPr>
        <w:tabs>
          <w:tab w:val="left" w:pos="1380"/>
        </w:tabs>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POSITION OF GREATER PALATINE FORAMEN IN RELATION TO UPPER MOLARS</w:t>
      </w:r>
    </w:p>
    <w:p w:rsidR="00777107" w:rsidRPr="00134C2C" w:rsidRDefault="001B177F" w:rsidP="00134C2C">
      <w:pPr>
        <w:tabs>
          <w:tab w:val="left" w:pos="1380"/>
        </w:tabs>
        <w:jc w:val="both"/>
        <w:rPr>
          <w:rStyle w:val="A4"/>
          <w:rFonts w:ascii="Times New Roman" w:hAnsi="Times New Roman" w:cs="Times New Roman"/>
          <w:color w:val="auto"/>
          <w:sz w:val="24"/>
          <w:szCs w:val="24"/>
        </w:rPr>
      </w:pPr>
      <w:r w:rsidRPr="00134C2C">
        <w:rPr>
          <w:rStyle w:val="A4"/>
          <w:rFonts w:ascii="Times New Roman" w:hAnsi="Times New Roman" w:cs="Times New Roman"/>
          <w:color w:val="auto"/>
          <w:sz w:val="24"/>
          <w:szCs w:val="24"/>
        </w:rPr>
        <w:t>O</w:t>
      </w:r>
      <w:r w:rsidR="00777107" w:rsidRPr="00134C2C">
        <w:rPr>
          <w:rStyle w:val="A4"/>
          <w:rFonts w:ascii="Times New Roman" w:hAnsi="Times New Roman" w:cs="Times New Roman"/>
          <w:color w:val="auto"/>
          <w:sz w:val="24"/>
          <w:szCs w:val="24"/>
        </w:rPr>
        <w:t xml:space="preserve">ne hundred patients (50 males/50 females) with mean age of 35.80 (±10.99) years were </w:t>
      </w:r>
      <w:r w:rsidRPr="00134C2C">
        <w:rPr>
          <w:rStyle w:val="A4"/>
          <w:rFonts w:ascii="Times New Roman" w:hAnsi="Times New Roman" w:cs="Times New Roman"/>
          <w:color w:val="auto"/>
          <w:sz w:val="24"/>
          <w:szCs w:val="24"/>
        </w:rPr>
        <w:t xml:space="preserve">examined. In 34 % of the total </w:t>
      </w:r>
      <w:r w:rsidR="00777107" w:rsidRPr="00134C2C">
        <w:rPr>
          <w:rStyle w:val="A4"/>
          <w:rFonts w:ascii="Times New Roman" w:hAnsi="Times New Roman" w:cs="Times New Roman"/>
          <w:color w:val="auto"/>
          <w:sz w:val="24"/>
          <w:szCs w:val="24"/>
        </w:rPr>
        <w:t xml:space="preserve">examinations, GPF was found to be located between the middle of the second molar and its </w:t>
      </w:r>
      <w:r w:rsidRPr="00134C2C">
        <w:rPr>
          <w:rStyle w:val="A4"/>
          <w:rFonts w:ascii="Times New Roman" w:hAnsi="Times New Roman" w:cs="Times New Roman"/>
          <w:color w:val="auto"/>
          <w:sz w:val="24"/>
          <w:szCs w:val="24"/>
        </w:rPr>
        <w:t xml:space="preserve">distal face (position B), 25 % </w:t>
      </w:r>
      <w:r w:rsidR="00777107" w:rsidRPr="00134C2C">
        <w:rPr>
          <w:rStyle w:val="A4"/>
          <w:rFonts w:ascii="Times New Roman" w:hAnsi="Times New Roman" w:cs="Times New Roman"/>
          <w:color w:val="auto"/>
          <w:sz w:val="24"/>
          <w:szCs w:val="24"/>
        </w:rPr>
        <w:t>medial face of the third molar and its center (position C); 18 % between the middle of the third molar and its distal face (position D)</w:t>
      </w:r>
      <w:r w:rsidR="003D7D15" w:rsidRPr="00134C2C">
        <w:rPr>
          <w:rStyle w:val="A4"/>
          <w:rFonts w:ascii="Times New Roman" w:hAnsi="Times New Roman" w:cs="Times New Roman"/>
          <w:color w:val="auto"/>
          <w:sz w:val="24"/>
          <w:szCs w:val="24"/>
        </w:rPr>
        <w:t>; 16</w:t>
      </w:r>
      <w:r w:rsidR="00777107" w:rsidRPr="00134C2C">
        <w:rPr>
          <w:rStyle w:val="A4"/>
          <w:rFonts w:ascii="Times New Roman" w:hAnsi="Times New Roman" w:cs="Times New Roman"/>
          <w:color w:val="auto"/>
          <w:sz w:val="24"/>
          <w:szCs w:val="24"/>
        </w:rPr>
        <w:t xml:space="preserve"> % between the medial face of the second molar to its center; 7 % distal to the third molar. </w:t>
      </w:r>
      <w:r w:rsidRPr="00134C2C">
        <w:rPr>
          <w:rStyle w:val="A4"/>
          <w:rFonts w:ascii="Times New Roman" w:hAnsi="Times New Roman" w:cs="Times New Roman"/>
          <w:color w:val="auto"/>
          <w:sz w:val="24"/>
          <w:szCs w:val="24"/>
        </w:rPr>
        <w:t xml:space="preserve">From the 200 GPFs examined, 68 </w:t>
      </w:r>
      <w:r w:rsidR="00777107" w:rsidRPr="00134C2C">
        <w:rPr>
          <w:rStyle w:val="A4"/>
          <w:rFonts w:ascii="Times New Roman" w:hAnsi="Times New Roman" w:cs="Times New Roman"/>
          <w:color w:val="auto"/>
          <w:sz w:val="24"/>
          <w:szCs w:val="24"/>
        </w:rPr>
        <w:t>were in the positions B and of those 36 were in the right side and 29 in the left side.</w:t>
      </w:r>
    </w:p>
    <w:p w:rsidR="00FE0E86" w:rsidRPr="00134C2C" w:rsidRDefault="003822E0" w:rsidP="00134C2C">
      <w:pPr>
        <w:tabs>
          <w:tab w:val="left" w:pos="1380"/>
        </w:tabs>
        <w:jc w:val="both"/>
        <w:rPr>
          <w:rStyle w:val="A4"/>
          <w:rFonts w:ascii="Times New Roman" w:hAnsi="Times New Roman" w:cs="Times New Roman"/>
          <w:color w:val="auto"/>
          <w:sz w:val="24"/>
          <w:szCs w:val="24"/>
        </w:rPr>
      </w:pPr>
      <w:r w:rsidRPr="00134C2C">
        <w:rPr>
          <w:rStyle w:val="A4"/>
          <w:rFonts w:ascii="Times New Roman" w:hAnsi="Times New Roman" w:cs="Times New Roman"/>
          <w:noProof/>
          <w:color w:val="auto"/>
          <w:sz w:val="24"/>
          <w:szCs w:val="24"/>
        </w:rPr>
        <mc:AlternateContent>
          <mc:Choice Requires="wps">
            <w:drawing>
              <wp:anchor distT="45720" distB="45720" distL="114300" distR="114300" simplePos="0" relativeHeight="251659264" behindDoc="0" locked="0" layoutInCell="1" allowOverlap="1" wp14:anchorId="7EC715FA" wp14:editId="36A3121B">
                <wp:simplePos x="0" y="0"/>
                <wp:positionH relativeFrom="column">
                  <wp:posOffset>0</wp:posOffset>
                </wp:positionH>
                <wp:positionV relativeFrom="paragraph">
                  <wp:posOffset>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822E0" w:rsidRDefault="003822E0" w:rsidP="003822E0">
                            <w:pPr>
                              <w:rPr>
                                <w:rStyle w:val="A4"/>
                                <w:rFonts w:ascii="Times New Roman" w:hAnsi="Times New Roman" w:cs="Times New Roman"/>
                                <w:color w:val="auto"/>
                                <w:sz w:val="24"/>
                                <w:szCs w:val="24"/>
                              </w:rPr>
                            </w:pPr>
                            <w:r>
                              <w:rPr>
                                <w:rStyle w:val="A4"/>
                                <w:rFonts w:ascii="Times New Roman" w:hAnsi="Times New Roman" w:cs="Times New Roman"/>
                                <w:color w:val="auto"/>
                                <w:sz w:val="24"/>
                                <w:szCs w:val="24"/>
                              </w:rPr>
                              <w:t xml:space="preserve">(1) From the medial face of </w:t>
                            </w:r>
                            <w:r w:rsidRPr="00764C42">
                              <w:rPr>
                                <w:rStyle w:val="A4"/>
                                <w:rFonts w:ascii="Times New Roman" w:hAnsi="Times New Roman" w:cs="Times New Roman"/>
                                <w:color w:val="auto"/>
                                <w:sz w:val="24"/>
                                <w:szCs w:val="24"/>
                              </w:rPr>
                              <w:t xml:space="preserve">second molar to its center; </w:t>
                            </w:r>
                          </w:p>
                          <w:p w:rsidR="003822E0" w:rsidRDefault="003822E0" w:rsidP="003822E0">
                            <w:pPr>
                              <w:rPr>
                                <w:rStyle w:val="A4"/>
                                <w:rFonts w:ascii="Times New Roman" w:hAnsi="Times New Roman" w:cs="Times New Roman"/>
                                <w:color w:val="auto"/>
                                <w:sz w:val="24"/>
                                <w:szCs w:val="24"/>
                              </w:rPr>
                            </w:pPr>
                            <w:r>
                              <w:rPr>
                                <w:rStyle w:val="A4"/>
                                <w:rFonts w:ascii="Times New Roman" w:hAnsi="Times New Roman" w:cs="Times New Roman"/>
                                <w:color w:val="auto"/>
                                <w:sz w:val="24"/>
                                <w:szCs w:val="24"/>
                              </w:rPr>
                              <w:t xml:space="preserve">(2) From the center of second </w:t>
                            </w:r>
                            <w:r w:rsidRPr="00764C42">
                              <w:rPr>
                                <w:rStyle w:val="A4"/>
                                <w:rFonts w:ascii="Times New Roman" w:hAnsi="Times New Roman" w:cs="Times New Roman"/>
                                <w:color w:val="auto"/>
                                <w:sz w:val="24"/>
                                <w:szCs w:val="24"/>
                              </w:rPr>
                              <w:t xml:space="preserve">molar up to its distal face; </w:t>
                            </w:r>
                          </w:p>
                          <w:p w:rsidR="003822E0" w:rsidRDefault="003822E0" w:rsidP="003822E0">
                            <w:pPr>
                              <w:rPr>
                                <w:rStyle w:val="A4"/>
                                <w:rFonts w:ascii="Times New Roman" w:hAnsi="Times New Roman" w:cs="Times New Roman"/>
                                <w:color w:val="auto"/>
                                <w:sz w:val="24"/>
                                <w:szCs w:val="24"/>
                              </w:rPr>
                            </w:pPr>
                            <w:r>
                              <w:rPr>
                                <w:rStyle w:val="A4"/>
                                <w:rFonts w:ascii="Times New Roman" w:hAnsi="Times New Roman" w:cs="Times New Roman"/>
                                <w:color w:val="auto"/>
                                <w:sz w:val="24"/>
                                <w:szCs w:val="24"/>
                              </w:rPr>
                              <w:t>(3</w:t>
                            </w:r>
                            <w:r w:rsidRPr="00764C42">
                              <w:rPr>
                                <w:rStyle w:val="A4"/>
                                <w:rFonts w:ascii="Times New Roman" w:hAnsi="Times New Roman" w:cs="Times New Roman"/>
                                <w:color w:val="auto"/>
                                <w:sz w:val="24"/>
                                <w:szCs w:val="24"/>
                              </w:rPr>
                              <w:t>) From the media</w:t>
                            </w:r>
                            <w:r>
                              <w:rPr>
                                <w:rStyle w:val="A4"/>
                                <w:rFonts w:ascii="Times New Roman" w:hAnsi="Times New Roman" w:cs="Times New Roman"/>
                                <w:color w:val="auto"/>
                                <w:sz w:val="24"/>
                                <w:szCs w:val="24"/>
                              </w:rPr>
                              <w:t xml:space="preserve">l face of third </w:t>
                            </w:r>
                            <w:r w:rsidRPr="00764C42">
                              <w:rPr>
                                <w:rStyle w:val="A4"/>
                                <w:rFonts w:ascii="Times New Roman" w:hAnsi="Times New Roman" w:cs="Times New Roman"/>
                                <w:color w:val="auto"/>
                                <w:sz w:val="24"/>
                                <w:szCs w:val="24"/>
                              </w:rPr>
                              <w:t xml:space="preserve">molar up to its center; </w:t>
                            </w:r>
                          </w:p>
                          <w:p w:rsidR="003822E0" w:rsidRDefault="003822E0" w:rsidP="003822E0">
                            <w:pPr>
                              <w:rPr>
                                <w:rStyle w:val="A4"/>
                                <w:rFonts w:ascii="Times New Roman" w:hAnsi="Times New Roman" w:cs="Times New Roman"/>
                                <w:color w:val="auto"/>
                                <w:sz w:val="24"/>
                                <w:szCs w:val="24"/>
                              </w:rPr>
                            </w:pPr>
                            <w:r>
                              <w:rPr>
                                <w:rStyle w:val="A4"/>
                                <w:rFonts w:ascii="Times New Roman" w:hAnsi="Times New Roman" w:cs="Times New Roman"/>
                                <w:color w:val="auto"/>
                                <w:sz w:val="24"/>
                                <w:szCs w:val="24"/>
                              </w:rPr>
                              <w:t>(4</w:t>
                            </w:r>
                            <w:r w:rsidRPr="00764C42">
                              <w:rPr>
                                <w:rStyle w:val="A4"/>
                                <w:rFonts w:ascii="Times New Roman" w:hAnsi="Times New Roman" w:cs="Times New Roman"/>
                                <w:color w:val="auto"/>
                                <w:sz w:val="24"/>
                                <w:szCs w:val="24"/>
                              </w:rPr>
                              <w:t>) From</w:t>
                            </w:r>
                            <w:r>
                              <w:rPr>
                                <w:rStyle w:val="A4"/>
                                <w:rFonts w:ascii="Times New Roman" w:hAnsi="Times New Roman" w:cs="Times New Roman"/>
                                <w:color w:val="auto"/>
                                <w:sz w:val="24"/>
                                <w:szCs w:val="24"/>
                              </w:rPr>
                              <w:t xml:space="preserve"> the center of third molar up </w:t>
                            </w:r>
                            <w:r w:rsidRPr="00764C42">
                              <w:rPr>
                                <w:rStyle w:val="A4"/>
                                <w:rFonts w:ascii="Times New Roman" w:hAnsi="Times New Roman" w:cs="Times New Roman"/>
                                <w:color w:val="auto"/>
                                <w:sz w:val="24"/>
                                <w:szCs w:val="24"/>
                              </w:rPr>
                              <w:t xml:space="preserve">to its distal face and </w:t>
                            </w:r>
                          </w:p>
                          <w:p w:rsidR="003822E0" w:rsidRPr="003822E0" w:rsidRDefault="003822E0" w:rsidP="003822E0">
                            <w:pPr>
                              <w:rPr>
                                <w:rFonts w:ascii="Times New Roman" w:hAnsi="Times New Roman" w:cs="Times New Roman"/>
                                <w:sz w:val="24"/>
                                <w:szCs w:val="24"/>
                              </w:rPr>
                            </w:pPr>
                            <w:r>
                              <w:rPr>
                                <w:rStyle w:val="A4"/>
                                <w:rFonts w:ascii="Times New Roman" w:hAnsi="Times New Roman" w:cs="Times New Roman"/>
                                <w:color w:val="auto"/>
                                <w:sz w:val="24"/>
                                <w:szCs w:val="24"/>
                              </w:rPr>
                              <w:t>(5) D</w:t>
                            </w:r>
                            <w:r w:rsidRPr="00764C42">
                              <w:rPr>
                                <w:rStyle w:val="A4"/>
                                <w:rFonts w:ascii="Times New Roman" w:hAnsi="Times New Roman" w:cs="Times New Roman"/>
                                <w:color w:val="auto"/>
                                <w:sz w:val="24"/>
                                <w:szCs w:val="24"/>
                              </w:rPr>
                              <w:t>istal from the third molar</w:t>
                            </w:r>
                            <w:r>
                              <w:rPr>
                                <w:rStyle w:val="A4"/>
                                <w:rFonts w:ascii="Times New Roman" w:hAnsi="Times New Roman" w:cs="Times New Roman"/>
                                <w:color w:val="auto"/>
                                <w:sz w:val="24"/>
                                <w:szCs w:val="24"/>
                              </w:rPr>
                              <w:t>.</w:t>
                            </w:r>
                            <w:r w:rsidRPr="00764C42">
                              <w:rPr>
                                <w:rStyle w:val="A4"/>
                                <w:rFonts w:ascii="Times New Roman" w:hAnsi="Times New Roman" w:cs="Times New Roman"/>
                                <w:color w:val="auto"/>
                                <w:sz w:val="24"/>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EC715FA" id="_x0000_t202" coordsize="21600,21600" o:spt="202" path="m,l,21600r21600,l21600,xe">
                <v:stroke joinstyle="miter"/>
                <v:path gradientshapeok="t" o:connecttype="rect"/>
              </v:shapetype>
              <v:shape id="Text Box 2" o:spid="_x0000_s1026" type="#_x0000_t202" style="position:absolute;left:0;text-align:left;margin-left:0;margin-top:0;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">
                <v:textbox style="mso-fit-shape-to-text:t">
                  <w:txbxContent>
                    <w:p w:rsidR="003822E0" w:rsidRDefault="003822E0" w:rsidP="003822E0">
                      <w:pPr>
                        <w:rPr>
                          <w:rStyle w:val="A4"/>
                          <w:rFonts w:ascii="Times New Roman" w:hAnsi="Times New Roman" w:cs="Times New Roman"/>
                          <w:color w:val="auto"/>
                          <w:sz w:val="24"/>
                          <w:szCs w:val="24"/>
                        </w:rPr>
                      </w:pPr>
                      <w:r>
                        <w:rPr>
                          <w:rStyle w:val="A4"/>
                          <w:rFonts w:ascii="Times New Roman" w:hAnsi="Times New Roman" w:cs="Times New Roman"/>
                          <w:color w:val="auto"/>
                          <w:sz w:val="24"/>
                          <w:szCs w:val="24"/>
                        </w:rPr>
                        <w:t>(1</w:t>
                      </w:r>
                      <w:r>
                        <w:rPr>
                          <w:rStyle w:val="A4"/>
                          <w:rFonts w:ascii="Times New Roman" w:hAnsi="Times New Roman" w:cs="Times New Roman"/>
                          <w:color w:val="auto"/>
                          <w:sz w:val="24"/>
                          <w:szCs w:val="24"/>
                        </w:rPr>
                        <w:t xml:space="preserve">) From the medial face of </w:t>
                      </w:r>
                      <w:r w:rsidRPr="00764C42">
                        <w:rPr>
                          <w:rStyle w:val="A4"/>
                          <w:rFonts w:ascii="Times New Roman" w:hAnsi="Times New Roman" w:cs="Times New Roman"/>
                          <w:color w:val="auto"/>
                          <w:sz w:val="24"/>
                          <w:szCs w:val="24"/>
                        </w:rPr>
                        <w:t xml:space="preserve">second molar to its center; </w:t>
                      </w:r>
                    </w:p>
                    <w:p w:rsidR="003822E0" w:rsidRDefault="003822E0" w:rsidP="003822E0">
                      <w:pPr>
                        <w:rPr>
                          <w:rStyle w:val="A4"/>
                          <w:rFonts w:ascii="Times New Roman" w:hAnsi="Times New Roman" w:cs="Times New Roman"/>
                          <w:color w:val="auto"/>
                          <w:sz w:val="24"/>
                          <w:szCs w:val="24"/>
                        </w:rPr>
                      </w:pPr>
                      <w:r>
                        <w:rPr>
                          <w:rStyle w:val="A4"/>
                          <w:rFonts w:ascii="Times New Roman" w:hAnsi="Times New Roman" w:cs="Times New Roman"/>
                          <w:color w:val="auto"/>
                          <w:sz w:val="24"/>
                          <w:szCs w:val="24"/>
                        </w:rPr>
                        <w:t>(2</w:t>
                      </w:r>
                      <w:r>
                        <w:rPr>
                          <w:rStyle w:val="A4"/>
                          <w:rFonts w:ascii="Times New Roman" w:hAnsi="Times New Roman" w:cs="Times New Roman"/>
                          <w:color w:val="auto"/>
                          <w:sz w:val="24"/>
                          <w:szCs w:val="24"/>
                        </w:rPr>
                        <w:t xml:space="preserve">) From the center of second </w:t>
                      </w:r>
                      <w:r w:rsidRPr="00764C42">
                        <w:rPr>
                          <w:rStyle w:val="A4"/>
                          <w:rFonts w:ascii="Times New Roman" w:hAnsi="Times New Roman" w:cs="Times New Roman"/>
                          <w:color w:val="auto"/>
                          <w:sz w:val="24"/>
                          <w:szCs w:val="24"/>
                        </w:rPr>
                        <w:t xml:space="preserve">molar up to its distal face; </w:t>
                      </w:r>
                    </w:p>
                    <w:p w:rsidR="003822E0" w:rsidRDefault="003822E0" w:rsidP="003822E0">
                      <w:pPr>
                        <w:rPr>
                          <w:rStyle w:val="A4"/>
                          <w:rFonts w:ascii="Times New Roman" w:hAnsi="Times New Roman" w:cs="Times New Roman"/>
                          <w:color w:val="auto"/>
                          <w:sz w:val="24"/>
                          <w:szCs w:val="24"/>
                        </w:rPr>
                      </w:pPr>
                      <w:r>
                        <w:rPr>
                          <w:rStyle w:val="A4"/>
                          <w:rFonts w:ascii="Times New Roman" w:hAnsi="Times New Roman" w:cs="Times New Roman"/>
                          <w:color w:val="auto"/>
                          <w:sz w:val="24"/>
                          <w:szCs w:val="24"/>
                        </w:rPr>
                        <w:t>(3</w:t>
                      </w:r>
                      <w:r w:rsidRPr="00764C42">
                        <w:rPr>
                          <w:rStyle w:val="A4"/>
                          <w:rFonts w:ascii="Times New Roman" w:hAnsi="Times New Roman" w:cs="Times New Roman"/>
                          <w:color w:val="auto"/>
                          <w:sz w:val="24"/>
                          <w:szCs w:val="24"/>
                        </w:rPr>
                        <w:t>) From the media</w:t>
                      </w:r>
                      <w:r>
                        <w:rPr>
                          <w:rStyle w:val="A4"/>
                          <w:rFonts w:ascii="Times New Roman" w:hAnsi="Times New Roman" w:cs="Times New Roman"/>
                          <w:color w:val="auto"/>
                          <w:sz w:val="24"/>
                          <w:szCs w:val="24"/>
                        </w:rPr>
                        <w:t xml:space="preserve">l face of third </w:t>
                      </w:r>
                      <w:r w:rsidRPr="00764C42">
                        <w:rPr>
                          <w:rStyle w:val="A4"/>
                          <w:rFonts w:ascii="Times New Roman" w:hAnsi="Times New Roman" w:cs="Times New Roman"/>
                          <w:color w:val="auto"/>
                          <w:sz w:val="24"/>
                          <w:szCs w:val="24"/>
                        </w:rPr>
                        <w:t xml:space="preserve">molar up to its center; </w:t>
                      </w:r>
                    </w:p>
                    <w:p w:rsidR="003822E0" w:rsidRDefault="003822E0" w:rsidP="003822E0">
                      <w:pPr>
                        <w:rPr>
                          <w:rStyle w:val="A4"/>
                          <w:rFonts w:ascii="Times New Roman" w:hAnsi="Times New Roman" w:cs="Times New Roman"/>
                          <w:color w:val="auto"/>
                          <w:sz w:val="24"/>
                          <w:szCs w:val="24"/>
                        </w:rPr>
                      </w:pPr>
                      <w:r>
                        <w:rPr>
                          <w:rStyle w:val="A4"/>
                          <w:rFonts w:ascii="Times New Roman" w:hAnsi="Times New Roman" w:cs="Times New Roman"/>
                          <w:color w:val="auto"/>
                          <w:sz w:val="24"/>
                          <w:szCs w:val="24"/>
                        </w:rPr>
                        <w:t>(4</w:t>
                      </w:r>
                      <w:r w:rsidRPr="00764C42">
                        <w:rPr>
                          <w:rStyle w:val="A4"/>
                          <w:rFonts w:ascii="Times New Roman" w:hAnsi="Times New Roman" w:cs="Times New Roman"/>
                          <w:color w:val="auto"/>
                          <w:sz w:val="24"/>
                          <w:szCs w:val="24"/>
                        </w:rPr>
                        <w:t>) From</w:t>
                      </w:r>
                      <w:r>
                        <w:rPr>
                          <w:rStyle w:val="A4"/>
                          <w:rFonts w:ascii="Times New Roman" w:hAnsi="Times New Roman" w:cs="Times New Roman"/>
                          <w:color w:val="auto"/>
                          <w:sz w:val="24"/>
                          <w:szCs w:val="24"/>
                        </w:rPr>
                        <w:t xml:space="preserve"> the center of third molar up </w:t>
                      </w:r>
                      <w:r w:rsidRPr="00764C42">
                        <w:rPr>
                          <w:rStyle w:val="A4"/>
                          <w:rFonts w:ascii="Times New Roman" w:hAnsi="Times New Roman" w:cs="Times New Roman"/>
                          <w:color w:val="auto"/>
                          <w:sz w:val="24"/>
                          <w:szCs w:val="24"/>
                        </w:rPr>
                        <w:t xml:space="preserve">to its distal face and </w:t>
                      </w:r>
                    </w:p>
                    <w:p w:rsidR="003822E0" w:rsidRPr="003822E0" w:rsidRDefault="003822E0" w:rsidP="003822E0">
                      <w:pPr>
                        <w:rPr>
                          <w:rFonts w:ascii="Times New Roman" w:hAnsi="Times New Roman" w:cs="Times New Roman"/>
                          <w:sz w:val="24"/>
                          <w:szCs w:val="24"/>
                        </w:rPr>
                      </w:pPr>
                      <w:r>
                        <w:rPr>
                          <w:rStyle w:val="A4"/>
                          <w:rFonts w:ascii="Times New Roman" w:hAnsi="Times New Roman" w:cs="Times New Roman"/>
                          <w:color w:val="auto"/>
                          <w:sz w:val="24"/>
                          <w:szCs w:val="24"/>
                        </w:rPr>
                        <w:t>(5</w:t>
                      </w:r>
                      <w:r>
                        <w:rPr>
                          <w:rStyle w:val="A4"/>
                          <w:rFonts w:ascii="Times New Roman" w:hAnsi="Times New Roman" w:cs="Times New Roman"/>
                          <w:color w:val="auto"/>
                          <w:sz w:val="24"/>
                          <w:szCs w:val="24"/>
                        </w:rPr>
                        <w:t>) D</w:t>
                      </w:r>
                      <w:r w:rsidRPr="00764C42">
                        <w:rPr>
                          <w:rStyle w:val="A4"/>
                          <w:rFonts w:ascii="Times New Roman" w:hAnsi="Times New Roman" w:cs="Times New Roman"/>
                          <w:color w:val="auto"/>
                          <w:sz w:val="24"/>
                          <w:szCs w:val="24"/>
                        </w:rPr>
                        <w:t>istal from the third molar</w:t>
                      </w:r>
                      <w:r>
                        <w:rPr>
                          <w:rStyle w:val="A4"/>
                          <w:rFonts w:ascii="Times New Roman" w:hAnsi="Times New Roman" w:cs="Times New Roman"/>
                          <w:color w:val="auto"/>
                          <w:sz w:val="24"/>
                          <w:szCs w:val="24"/>
                        </w:rPr>
                        <w:t>.</w:t>
                      </w:r>
                      <w:r w:rsidRPr="00764C42">
                        <w:rPr>
                          <w:rStyle w:val="A4"/>
                          <w:rFonts w:ascii="Times New Roman" w:hAnsi="Times New Roman" w:cs="Times New Roman"/>
                          <w:color w:val="auto"/>
                          <w:sz w:val="24"/>
                          <w:szCs w:val="24"/>
                        </w:rPr>
                        <w:t xml:space="preserve"> </w:t>
                      </w:r>
                    </w:p>
                  </w:txbxContent>
                </v:textbox>
                <w10:wrap type="square"/>
              </v:shape>
            </w:pict>
          </mc:Fallback>
        </mc:AlternateContent>
      </w:r>
      <w:r w:rsidR="00777107" w:rsidRPr="00134C2C">
        <w:rPr>
          <w:rFonts w:ascii="Times New Roman" w:hAnsi="Times New Roman" w:cs="Times New Roman"/>
          <w:noProof/>
          <w:sz w:val="24"/>
          <w:szCs w:val="24"/>
        </w:rPr>
        <w:drawing>
          <wp:inline distT="0" distB="0" distL="0" distR="0" wp14:anchorId="26D7BA92" wp14:editId="5C9A45DF">
            <wp:extent cx="3314065" cy="2533493"/>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7717" cy="2536285"/>
                    </a:xfrm>
                    <a:prstGeom prst="rect">
                      <a:avLst/>
                    </a:prstGeom>
                  </pic:spPr>
                </pic:pic>
              </a:graphicData>
            </a:graphic>
          </wp:inline>
        </w:drawing>
      </w:r>
    </w:p>
    <w:p w:rsidR="00623699" w:rsidRPr="00134C2C" w:rsidRDefault="001B177F" w:rsidP="00134C2C">
      <w:pPr>
        <w:jc w:val="both"/>
        <w:rPr>
          <w:rFonts w:ascii="Times New Roman" w:hAnsi="Times New Roman" w:cs="Times New Roman"/>
          <w:sz w:val="24"/>
          <w:szCs w:val="24"/>
        </w:rPr>
      </w:pPr>
      <w:r w:rsidRPr="00134C2C">
        <w:rPr>
          <w:rFonts w:ascii="Times New Roman" w:hAnsi="Times New Roman" w:cs="Times New Roman"/>
          <w:sz w:val="24"/>
          <w:szCs w:val="24"/>
        </w:rPr>
        <w:lastRenderedPageBreak/>
        <w:t>The mean diameter of lingual foramen on right side was found to be 2.03 mm (± 0.63), and on left side was found to be 1.94 mm (± 0.61).</w:t>
      </w:r>
    </w:p>
    <w:p w:rsidR="001B177F" w:rsidRPr="00134C2C" w:rsidRDefault="001B177F"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The mean distance from GPF to MMS were 19.89 mm </w:t>
      </w:r>
      <w:r w:rsidR="00A32DA4" w:rsidRPr="00134C2C">
        <w:rPr>
          <w:rFonts w:ascii="Times New Roman" w:hAnsi="Times New Roman" w:cs="Times New Roman"/>
          <w:sz w:val="24"/>
          <w:szCs w:val="24"/>
        </w:rPr>
        <w:t>(±3.02</w:t>
      </w:r>
      <w:r w:rsidRPr="00134C2C">
        <w:rPr>
          <w:rFonts w:ascii="Times New Roman" w:hAnsi="Times New Roman" w:cs="Times New Roman"/>
          <w:sz w:val="24"/>
          <w:szCs w:val="24"/>
        </w:rPr>
        <w:t>)</w:t>
      </w:r>
      <w:r w:rsidR="00A32DA4" w:rsidRPr="00134C2C">
        <w:rPr>
          <w:rFonts w:ascii="Times New Roman" w:hAnsi="Times New Roman" w:cs="Times New Roman"/>
          <w:sz w:val="24"/>
          <w:szCs w:val="24"/>
        </w:rPr>
        <w:t xml:space="preserve"> on right side and 19.39 mm (±2.97) on the left side.</w:t>
      </w:r>
    </w:p>
    <w:p w:rsidR="00A32DA4" w:rsidRPr="00134C2C" w:rsidRDefault="00A32DA4" w:rsidP="00134C2C">
      <w:pPr>
        <w:jc w:val="both"/>
        <w:rPr>
          <w:rFonts w:ascii="Times New Roman" w:hAnsi="Times New Roman" w:cs="Times New Roman"/>
          <w:sz w:val="24"/>
          <w:szCs w:val="24"/>
        </w:rPr>
      </w:pPr>
      <w:r w:rsidRPr="00134C2C">
        <w:rPr>
          <w:rFonts w:ascii="Times New Roman" w:hAnsi="Times New Roman" w:cs="Times New Roman"/>
          <w:sz w:val="24"/>
          <w:szCs w:val="24"/>
        </w:rPr>
        <w:t>The mean distance from GPF to AR were observed to be 29.47 mm (±4.43) and 28.65 mm (±4.5) in right and left sides respectively.</w:t>
      </w:r>
    </w:p>
    <w:p w:rsidR="00D3569C" w:rsidRPr="00134C2C" w:rsidRDefault="00D3569C"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The measurement GPF to AR was found to be </w:t>
      </w:r>
      <w:r w:rsidR="0087202A" w:rsidRPr="00134C2C">
        <w:rPr>
          <w:rFonts w:ascii="Times New Roman" w:hAnsi="Times New Roman" w:cs="Times New Roman"/>
          <w:sz w:val="24"/>
          <w:szCs w:val="24"/>
        </w:rPr>
        <w:t xml:space="preserve">statistically </w:t>
      </w:r>
      <w:r w:rsidRPr="00134C2C">
        <w:rPr>
          <w:rFonts w:ascii="Times New Roman" w:hAnsi="Times New Roman" w:cs="Times New Roman"/>
          <w:sz w:val="24"/>
          <w:szCs w:val="24"/>
        </w:rPr>
        <w:t>significant among males and females (</w:t>
      </w:r>
      <w:r w:rsidR="0087202A" w:rsidRPr="00134C2C">
        <w:rPr>
          <w:rFonts w:ascii="Times New Roman" w:hAnsi="Times New Roman" w:cs="Times New Roman"/>
          <w:sz w:val="24"/>
          <w:szCs w:val="24"/>
        </w:rPr>
        <w:t>P=0.048)</w:t>
      </w:r>
    </w:p>
    <w:p w:rsidR="00BE78F9" w:rsidRPr="00134C2C" w:rsidRDefault="00BE78F9" w:rsidP="00134C2C">
      <w:pPr>
        <w:jc w:val="both"/>
        <w:rPr>
          <w:rFonts w:ascii="Times New Roman" w:hAnsi="Times New Roman" w:cs="Times New Roman"/>
          <w:sz w:val="24"/>
          <w:szCs w:val="24"/>
        </w:rPr>
      </w:pPr>
      <w:r w:rsidRPr="00134C2C">
        <w:rPr>
          <w:rFonts w:ascii="Times New Roman" w:hAnsi="Times New Roman" w:cs="Times New Roman"/>
          <w:sz w:val="24"/>
          <w:szCs w:val="24"/>
        </w:rPr>
        <w:t>The mean CL of the GPC was 28.61 ± 3.51 mm (26.7 ± 2.34 mm on the right side and 27.52 ± 2.40 mm on the left, intra-examiner reliability was 95%); a statistically significant difference in CL was observed between the right and left sides (P = 0.044). However, the ICC was 0.8</w:t>
      </w:r>
      <w:r w:rsidR="00325055" w:rsidRPr="00134C2C">
        <w:rPr>
          <w:rFonts w:ascii="Times New Roman" w:hAnsi="Times New Roman" w:cs="Times New Roman"/>
          <w:sz w:val="24"/>
          <w:szCs w:val="24"/>
        </w:rPr>
        <w:t>422</w:t>
      </w:r>
      <w:r w:rsidRPr="00134C2C">
        <w:rPr>
          <w:rFonts w:ascii="Times New Roman" w:hAnsi="Times New Roman" w:cs="Times New Roman"/>
          <w:sz w:val="24"/>
          <w:szCs w:val="24"/>
        </w:rPr>
        <w:t xml:space="preserve"> with P &lt; 0.001, which indicates a consistent mean CL. </w:t>
      </w:r>
    </w:p>
    <w:p w:rsidR="00A32DA4" w:rsidRPr="00134C2C" w:rsidRDefault="00BE78F9" w:rsidP="00134C2C">
      <w:pPr>
        <w:jc w:val="both"/>
        <w:rPr>
          <w:rFonts w:ascii="Times New Roman" w:hAnsi="Times New Roman" w:cs="Times New Roman"/>
          <w:sz w:val="24"/>
          <w:szCs w:val="24"/>
        </w:rPr>
      </w:pPr>
      <w:r w:rsidRPr="00134C2C">
        <w:rPr>
          <w:rFonts w:ascii="Times New Roman" w:hAnsi="Times New Roman" w:cs="Times New Roman"/>
          <w:sz w:val="24"/>
          <w:szCs w:val="24"/>
        </w:rPr>
        <w:t>The mean CL in females was 26.55 ± 1.74 mm and in males was 27.94 ± 2.17 mm, which was not a statistically significant difference (P = 0.001).</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E78F9" w:rsidRPr="00134C2C" w:rsidTr="00BE78F9">
        <w:tc>
          <w:tcPr>
            <w:tcW w:w="1558" w:type="dxa"/>
          </w:tcPr>
          <w:p w:rsidR="00BE78F9" w:rsidRPr="00134C2C" w:rsidRDefault="00BE78F9"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Gender </w:t>
            </w:r>
          </w:p>
        </w:tc>
        <w:tc>
          <w:tcPr>
            <w:tcW w:w="1558" w:type="dxa"/>
          </w:tcPr>
          <w:p w:rsidR="00BE78F9" w:rsidRPr="00134C2C" w:rsidRDefault="00BE78F9" w:rsidP="00134C2C">
            <w:pPr>
              <w:jc w:val="both"/>
              <w:rPr>
                <w:rFonts w:ascii="Times New Roman" w:hAnsi="Times New Roman" w:cs="Times New Roman"/>
                <w:sz w:val="24"/>
                <w:szCs w:val="24"/>
              </w:rPr>
            </w:pPr>
            <w:r w:rsidRPr="00134C2C">
              <w:rPr>
                <w:rFonts w:ascii="Times New Roman" w:hAnsi="Times New Roman" w:cs="Times New Roman"/>
                <w:sz w:val="24"/>
                <w:szCs w:val="24"/>
              </w:rPr>
              <w:t>n</w:t>
            </w:r>
          </w:p>
        </w:tc>
        <w:tc>
          <w:tcPr>
            <w:tcW w:w="1558" w:type="dxa"/>
          </w:tcPr>
          <w:p w:rsidR="00BE78F9" w:rsidRPr="00134C2C" w:rsidRDefault="00BE78F9"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Right </w:t>
            </w:r>
          </w:p>
        </w:tc>
        <w:tc>
          <w:tcPr>
            <w:tcW w:w="1558" w:type="dxa"/>
          </w:tcPr>
          <w:p w:rsidR="00BE78F9" w:rsidRPr="00134C2C" w:rsidRDefault="00BE78F9"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Left </w:t>
            </w:r>
          </w:p>
        </w:tc>
        <w:tc>
          <w:tcPr>
            <w:tcW w:w="1559" w:type="dxa"/>
          </w:tcPr>
          <w:p w:rsidR="00BE78F9" w:rsidRPr="00134C2C" w:rsidRDefault="00BE78F9" w:rsidP="00134C2C">
            <w:pPr>
              <w:jc w:val="both"/>
              <w:rPr>
                <w:rFonts w:ascii="Times New Roman" w:hAnsi="Times New Roman" w:cs="Times New Roman"/>
                <w:sz w:val="24"/>
                <w:szCs w:val="24"/>
              </w:rPr>
            </w:pPr>
            <w:r w:rsidRPr="00134C2C">
              <w:rPr>
                <w:rFonts w:ascii="Times New Roman" w:hAnsi="Times New Roman" w:cs="Times New Roman"/>
                <w:sz w:val="24"/>
                <w:szCs w:val="24"/>
              </w:rPr>
              <w:t>P value</w:t>
            </w:r>
          </w:p>
        </w:tc>
        <w:tc>
          <w:tcPr>
            <w:tcW w:w="1559" w:type="dxa"/>
          </w:tcPr>
          <w:p w:rsidR="00BE78F9" w:rsidRPr="00134C2C" w:rsidRDefault="00BE78F9" w:rsidP="00134C2C">
            <w:pPr>
              <w:jc w:val="both"/>
              <w:rPr>
                <w:rFonts w:ascii="Times New Roman" w:hAnsi="Times New Roman" w:cs="Times New Roman"/>
                <w:sz w:val="24"/>
                <w:szCs w:val="24"/>
              </w:rPr>
            </w:pPr>
            <w:r w:rsidRPr="00134C2C">
              <w:rPr>
                <w:rFonts w:ascii="Times New Roman" w:hAnsi="Times New Roman" w:cs="Times New Roman"/>
                <w:sz w:val="24"/>
                <w:szCs w:val="24"/>
              </w:rPr>
              <w:t>ICC</w:t>
            </w:r>
          </w:p>
        </w:tc>
      </w:tr>
      <w:tr w:rsidR="00BE78F9" w:rsidRPr="00134C2C" w:rsidTr="00BE78F9">
        <w:tc>
          <w:tcPr>
            <w:tcW w:w="1558" w:type="dxa"/>
          </w:tcPr>
          <w:p w:rsidR="00BE78F9" w:rsidRPr="00134C2C" w:rsidRDefault="00BE78F9" w:rsidP="00134C2C">
            <w:pPr>
              <w:jc w:val="both"/>
              <w:rPr>
                <w:rFonts w:ascii="Times New Roman" w:hAnsi="Times New Roman" w:cs="Times New Roman"/>
                <w:sz w:val="24"/>
                <w:szCs w:val="24"/>
              </w:rPr>
            </w:pPr>
            <w:r w:rsidRPr="00134C2C">
              <w:rPr>
                <w:rFonts w:ascii="Times New Roman" w:hAnsi="Times New Roman" w:cs="Times New Roman"/>
                <w:sz w:val="24"/>
                <w:szCs w:val="24"/>
              </w:rPr>
              <w:t>Male</w:t>
            </w:r>
          </w:p>
        </w:tc>
        <w:tc>
          <w:tcPr>
            <w:tcW w:w="1558" w:type="dxa"/>
          </w:tcPr>
          <w:p w:rsidR="00BE78F9" w:rsidRPr="00134C2C" w:rsidRDefault="00BE78F9" w:rsidP="00134C2C">
            <w:pPr>
              <w:jc w:val="both"/>
              <w:rPr>
                <w:rFonts w:ascii="Times New Roman" w:hAnsi="Times New Roman" w:cs="Times New Roman"/>
                <w:sz w:val="24"/>
                <w:szCs w:val="24"/>
              </w:rPr>
            </w:pPr>
            <w:r w:rsidRPr="00134C2C">
              <w:rPr>
                <w:rFonts w:ascii="Times New Roman" w:hAnsi="Times New Roman" w:cs="Times New Roman"/>
                <w:sz w:val="24"/>
                <w:szCs w:val="24"/>
              </w:rPr>
              <w:t>50</w:t>
            </w:r>
          </w:p>
        </w:tc>
        <w:tc>
          <w:tcPr>
            <w:tcW w:w="1558" w:type="dxa"/>
          </w:tcPr>
          <w:p w:rsidR="00BE78F9" w:rsidRPr="00134C2C" w:rsidRDefault="00325055" w:rsidP="00134C2C">
            <w:pPr>
              <w:jc w:val="both"/>
              <w:rPr>
                <w:rFonts w:ascii="Times New Roman" w:hAnsi="Times New Roman" w:cs="Times New Roman"/>
                <w:sz w:val="24"/>
                <w:szCs w:val="24"/>
              </w:rPr>
            </w:pPr>
            <w:r w:rsidRPr="00134C2C">
              <w:rPr>
                <w:rFonts w:ascii="Times New Roman" w:hAnsi="Times New Roman" w:cs="Times New Roman"/>
                <w:sz w:val="24"/>
                <w:szCs w:val="24"/>
              </w:rPr>
              <w:t>28.46±3.37</w:t>
            </w:r>
          </w:p>
        </w:tc>
        <w:tc>
          <w:tcPr>
            <w:tcW w:w="1558" w:type="dxa"/>
          </w:tcPr>
          <w:p w:rsidR="00BE78F9" w:rsidRPr="00134C2C" w:rsidRDefault="008F6E5F" w:rsidP="00134C2C">
            <w:pPr>
              <w:jc w:val="both"/>
              <w:rPr>
                <w:rFonts w:ascii="Times New Roman" w:hAnsi="Times New Roman" w:cs="Times New Roman"/>
                <w:sz w:val="24"/>
                <w:szCs w:val="24"/>
              </w:rPr>
            </w:pPr>
            <w:r w:rsidRPr="00134C2C">
              <w:rPr>
                <w:rFonts w:ascii="Times New Roman" w:hAnsi="Times New Roman" w:cs="Times New Roman"/>
                <w:sz w:val="24"/>
                <w:szCs w:val="24"/>
              </w:rPr>
              <w:t>28.39 ± 1.37</w:t>
            </w:r>
          </w:p>
        </w:tc>
        <w:tc>
          <w:tcPr>
            <w:tcW w:w="1559" w:type="dxa"/>
          </w:tcPr>
          <w:p w:rsidR="00BE78F9" w:rsidRPr="00134C2C" w:rsidRDefault="005F1088" w:rsidP="00134C2C">
            <w:pPr>
              <w:jc w:val="both"/>
              <w:rPr>
                <w:rFonts w:ascii="Times New Roman" w:hAnsi="Times New Roman" w:cs="Times New Roman"/>
                <w:sz w:val="24"/>
                <w:szCs w:val="24"/>
              </w:rPr>
            </w:pPr>
            <w:r w:rsidRPr="00134C2C">
              <w:rPr>
                <w:rFonts w:ascii="Times New Roman" w:hAnsi="Times New Roman" w:cs="Times New Roman"/>
                <w:sz w:val="24"/>
                <w:szCs w:val="24"/>
              </w:rPr>
              <w:t>0.117</w:t>
            </w:r>
          </w:p>
        </w:tc>
        <w:tc>
          <w:tcPr>
            <w:tcW w:w="1559" w:type="dxa"/>
          </w:tcPr>
          <w:p w:rsidR="00BE78F9" w:rsidRPr="00134C2C" w:rsidRDefault="008F6E5F" w:rsidP="00134C2C">
            <w:pPr>
              <w:jc w:val="both"/>
              <w:rPr>
                <w:rFonts w:ascii="Times New Roman" w:hAnsi="Times New Roman" w:cs="Times New Roman"/>
                <w:sz w:val="24"/>
                <w:szCs w:val="24"/>
              </w:rPr>
            </w:pPr>
            <w:r w:rsidRPr="00134C2C">
              <w:rPr>
                <w:rFonts w:ascii="Times New Roman" w:hAnsi="Times New Roman" w:cs="Times New Roman"/>
                <w:sz w:val="24"/>
                <w:szCs w:val="24"/>
              </w:rPr>
              <w:t>0.407</w:t>
            </w:r>
          </w:p>
        </w:tc>
      </w:tr>
      <w:tr w:rsidR="00BE78F9" w:rsidRPr="00134C2C" w:rsidTr="00BE78F9">
        <w:tc>
          <w:tcPr>
            <w:tcW w:w="1558" w:type="dxa"/>
          </w:tcPr>
          <w:p w:rsidR="00BE78F9" w:rsidRPr="00134C2C" w:rsidRDefault="00BE78F9"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Female </w:t>
            </w:r>
          </w:p>
        </w:tc>
        <w:tc>
          <w:tcPr>
            <w:tcW w:w="1558" w:type="dxa"/>
          </w:tcPr>
          <w:p w:rsidR="00BE78F9" w:rsidRPr="00134C2C" w:rsidRDefault="00BE78F9" w:rsidP="00134C2C">
            <w:pPr>
              <w:jc w:val="both"/>
              <w:rPr>
                <w:rFonts w:ascii="Times New Roman" w:hAnsi="Times New Roman" w:cs="Times New Roman"/>
                <w:sz w:val="24"/>
                <w:szCs w:val="24"/>
              </w:rPr>
            </w:pPr>
            <w:r w:rsidRPr="00134C2C">
              <w:rPr>
                <w:rFonts w:ascii="Times New Roman" w:hAnsi="Times New Roman" w:cs="Times New Roman"/>
                <w:sz w:val="24"/>
                <w:szCs w:val="24"/>
              </w:rPr>
              <w:t>50</w:t>
            </w:r>
          </w:p>
        </w:tc>
        <w:tc>
          <w:tcPr>
            <w:tcW w:w="1558" w:type="dxa"/>
          </w:tcPr>
          <w:p w:rsidR="00BE78F9" w:rsidRPr="00134C2C" w:rsidRDefault="00325055" w:rsidP="00134C2C">
            <w:pPr>
              <w:jc w:val="both"/>
              <w:rPr>
                <w:rFonts w:ascii="Times New Roman" w:hAnsi="Times New Roman" w:cs="Times New Roman"/>
                <w:sz w:val="24"/>
                <w:szCs w:val="24"/>
              </w:rPr>
            </w:pPr>
            <w:r w:rsidRPr="00134C2C">
              <w:rPr>
                <w:rFonts w:ascii="Times New Roman" w:hAnsi="Times New Roman" w:cs="Times New Roman"/>
                <w:sz w:val="24"/>
                <w:szCs w:val="24"/>
              </w:rPr>
              <w:t>24.94±2.12</w:t>
            </w:r>
          </w:p>
        </w:tc>
        <w:tc>
          <w:tcPr>
            <w:tcW w:w="1558" w:type="dxa"/>
          </w:tcPr>
          <w:p w:rsidR="00BE78F9" w:rsidRPr="00134C2C" w:rsidRDefault="008F6E5F" w:rsidP="00134C2C">
            <w:pPr>
              <w:jc w:val="both"/>
              <w:rPr>
                <w:rFonts w:ascii="Times New Roman" w:hAnsi="Times New Roman" w:cs="Times New Roman"/>
                <w:sz w:val="24"/>
                <w:szCs w:val="24"/>
              </w:rPr>
            </w:pPr>
            <w:r w:rsidRPr="00134C2C">
              <w:rPr>
                <w:rFonts w:ascii="Times New Roman" w:hAnsi="Times New Roman" w:cs="Times New Roman"/>
                <w:sz w:val="24"/>
                <w:szCs w:val="24"/>
              </w:rPr>
              <w:t>25.86± 2.27</w:t>
            </w:r>
          </w:p>
        </w:tc>
        <w:tc>
          <w:tcPr>
            <w:tcW w:w="1559" w:type="dxa"/>
          </w:tcPr>
          <w:p w:rsidR="00BE78F9" w:rsidRPr="00134C2C" w:rsidRDefault="005F1088" w:rsidP="00134C2C">
            <w:pPr>
              <w:jc w:val="both"/>
              <w:rPr>
                <w:rFonts w:ascii="Times New Roman" w:hAnsi="Times New Roman" w:cs="Times New Roman"/>
                <w:sz w:val="24"/>
                <w:szCs w:val="24"/>
              </w:rPr>
            </w:pPr>
            <w:r w:rsidRPr="00134C2C">
              <w:rPr>
                <w:rFonts w:ascii="Times New Roman" w:hAnsi="Times New Roman" w:cs="Times New Roman"/>
                <w:sz w:val="24"/>
                <w:szCs w:val="24"/>
              </w:rPr>
              <w:t>0.028</w:t>
            </w:r>
          </w:p>
        </w:tc>
        <w:tc>
          <w:tcPr>
            <w:tcW w:w="1559" w:type="dxa"/>
          </w:tcPr>
          <w:p w:rsidR="00BE78F9" w:rsidRPr="00134C2C" w:rsidRDefault="008F6E5F" w:rsidP="00134C2C">
            <w:pPr>
              <w:jc w:val="both"/>
              <w:rPr>
                <w:rFonts w:ascii="Times New Roman" w:hAnsi="Times New Roman" w:cs="Times New Roman"/>
                <w:sz w:val="24"/>
                <w:szCs w:val="24"/>
              </w:rPr>
            </w:pPr>
            <w:r w:rsidRPr="00134C2C">
              <w:rPr>
                <w:rFonts w:ascii="Times New Roman" w:hAnsi="Times New Roman" w:cs="Times New Roman"/>
                <w:sz w:val="24"/>
                <w:szCs w:val="24"/>
              </w:rPr>
              <w:t>0.682</w:t>
            </w:r>
          </w:p>
        </w:tc>
      </w:tr>
    </w:tbl>
    <w:p w:rsidR="00A32DA4" w:rsidRPr="00134C2C" w:rsidRDefault="00BE78F9" w:rsidP="00134C2C">
      <w:pPr>
        <w:jc w:val="both"/>
        <w:rPr>
          <w:rFonts w:ascii="Times New Roman" w:hAnsi="Times New Roman" w:cs="Times New Roman"/>
          <w:sz w:val="24"/>
          <w:szCs w:val="24"/>
        </w:rPr>
      </w:pPr>
      <w:r w:rsidRPr="00134C2C">
        <w:rPr>
          <w:rFonts w:ascii="Times New Roman" w:hAnsi="Times New Roman" w:cs="Times New Roman"/>
          <w:sz w:val="24"/>
          <w:szCs w:val="24"/>
        </w:rPr>
        <w:t>ICC: Intra-class correlation coefficient, CL: Canal length</w:t>
      </w:r>
    </w:p>
    <w:p w:rsidR="005D72F9" w:rsidRPr="00134C2C" w:rsidRDefault="005D72F9" w:rsidP="00134C2C">
      <w:pPr>
        <w:jc w:val="both"/>
        <w:rPr>
          <w:rFonts w:ascii="Times New Roman" w:hAnsi="Times New Roman" w:cs="Times New Roman"/>
          <w:b/>
          <w:sz w:val="24"/>
          <w:szCs w:val="24"/>
        </w:rPr>
      </w:pPr>
      <w:r w:rsidRPr="00134C2C">
        <w:rPr>
          <w:rFonts w:ascii="Times New Roman" w:hAnsi="Times New Roman" w:cs="Times New Roman"/>
          <w:b/>
          <w:sz w:val="24"/>
          <w:szCs w:val="24"/>
        </w:rPr>
        <w:t>INCIDENCE OF PATHWAYS OF GREATER PALATINE CANAL</w:t>
      </w:r>
    </w:p>
    <w:p w:rsidR="00EA339D" w:rsidRPr="00134C2C" w:rsidRDefault="00645727"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Investigations </w:t>
      </w:r>
      <w:r w:rsidR="00EA339D" w:rsidRPr="00134C2C">
        <w:rPr>
          <w:rFonts w:ascii="Times New Roman" w:hAnsi="Times New Roman" w:cs="Times New Roman"/>
          <w:sz w:val="24"/>
          <w:szCs w:val="24"/>
        </w:rPr>
        <w:t>of the canal path revealed four</w:t>
      </w:r>
      <w:r w:rsidRPr="00134C2C">
        <w:rPr>
          <w:rFonts w:ascii="Times New Roman" w:hAnsi="Times New Roman" w:cs="Times New Roman"/>
          <w:sz w:val="24"/>
          <w:szCs w:val="24"/>
        </w:rPr>
        <w:t xml:space="preserve"> path types in the sagittal plane and five path types in the c</w:t>
      </w:r>
      <w:r w:rsidR="005672F1">
        <w:rPr>
          <w:rFonts w:ascii="Times New Roman" w:hAnsi="Times New Roman" w:cs="Times New Roman"/>
          <w:sz w:val="24"/>
          <w:szCs w:val="24"/>
        </w:rPr>
        <w:t>oronal plane [Figures 1 and 2].</w:t>
      </w:r>
      <w:r w:rsidR="00EA339D" w:rsidRPr="00134C2C">
        <w:rPr>
          <w:rFonts w:ascii="Times New Roman" w:hAnsi="Times New Roman" w:cs="Times New Roman"/>
          <w:sz w:val="24"/>
          <w:szCs w:val="24"/>
        </w:rPr>
        <w:t>IN SAGGITAL PLANE</w:t>
      </w:r>
    </w:p>
    <w:tbl>
      <w:tblPr>
        <w:tblStyle w:val="PlainTable1"/>
        <w:tblW w:w="9625" w:type="dxa"/>
        <w:tblLayout w:type="fixed"/>
        <w:tblLook w:val="04A0" w:firstRow="1" w:lastRow="0" w:firstColumn="1" w:lastColumn="0" w:noHBand="0" w:noVBand="1"/>
      </w:tblPr>
      <w:tblGrid>
        <w:gridCol w:w="1165"/>
        <w:gridCol w:w="2340"/>
        <w:gridCol w:w="1170"/>
        <w:gridCol w:w="1080"/>
        <w:gridCol w:w="2160"/>
        <w:gridCol w:w="1710"/>
      </w:tblGrid>
      <w:tr w:rsidR="00917791" w:rsidRPr="00134C2C" w:rsidTr="00504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rsidR="005F1088" w:rsidRPr="00134C2C" w:rsidRDefault="005F1088" w:rsidP="00134C2C">
            <w:pPr>
              <w:jc w:val="both"/>
              <w:rPr>
                <w:rFonts w:ascii="Times New Roman" w:hAnsi="Times New Roman" w:cs="Times New Roman"/>
                <w:sz w:val="24"/>
                <w:szCs w:val="24"/>
              </w:rPr>
            </w:pPr>
            <w:r w:rsidRPr="00134C2C">
              <w:rPr>
                <w:rFonts w:ascii="Times New Roman" w:hAnsi="Times New Roman" w:cs="Times New Roman"/>
                <w:sz w:val="24"/>
                <w:szCs w:val="24"/>
              </w:rPr>
              <w:t>FIGURE</w:t>
            </w:r>
          </w:p>
        </w:tc>
        <w:tc>
          <w:tcPr>
            <w:tcW w:w="2340" w:type="dxa"/>
          </w:tcPr>
          <w:p w:rsidR="005F1088" w:rsidRPr="00134C2C" w:rsidRDefault="005F1088" w:rsidP="00134C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PATHWAY</w:t>
            </w:r>
          </w:p>
        </w:tc>
        <w:tc>
          <w:tcPr>
            <w:tcW w:w="1170" w:type="dxa"/>
          </w:tcPr>
          <w:p w:rsidR="005F1088" w:rsidRPr="00134C2C" w:rsidRDefault="005F1088" w:rsidP="00134C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RIGHT CANAL</w:t>
            </w:r>
          </w:p>
        </w:tc>
        <w:tc>
          <w:tcPr>
            <w:tcW w:w="1080" w:type="dxa"/>
          </w:tcPr>
          <w:p w:rsidR="005F1088" w:rsidRPr="00134C2C" w:rsidRDefault="005F1088" w:rsidP="00134C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LEFT CANAL</w:t>
            </w:r>
          </w:p>
        </w:tc>
        <w:tc>
          <w:tcPr>
            <w:tcW w:w="2160" w:type="dxa"/>
          </w:tcPr>
          <w:p w:rsidR="005F1088" w:rsidRPr="00134C2C" w:rsidRDefault="0050460D" w:rsidP="00134C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BILATE</w:t>
            </w:r>
            <w:r w:rsidR="005F1088" w:rsidRPr="00134C2C">
              <w:rPr>
                <w:rFonts w:ascii="Times New Roman" w:hAnsi="Times New Roman" w:cs="Times New Roman"/>
                <w:sz w:val="24"/>
                <w:szCs w:val="24"/>
              </w:rPr>
              <w:t>RALLY SYMMETRICAL</w:t>
            </w:r>
          </w:p>
        </w:tc>
        <w:tc>
          <w:tcPr>
            <w:tcW w:w="1710" w:type="dxa"/>
          </w:tcPr>
          <w:p w:rsidR="005F1088" w:rsidRPr="00134C2C" w:rsidRDefault="005F1088" w:rsidP="00134C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OVERALL INCIDENCE</w:t>
            </w:r>
          </w:p>
        </w:tc>
      </w:tr>
      <w:tr w:rsidR="00EA339D" w:rsidRPr="00134C2C" w:rsidTr="00504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rsidR="005F1088" w:rsidRPr="00134C2C" w:rsidRDefault="005F1088"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Figure </w:t>
            </w:r>
            <w:r w:rsidR="00980FDF" w:rsidRPr="00134C2C">
              <w:rPr>
                <w:rFonts w:ascii="Times New Roman" w:hAnsi="Times New Roman" w:cs="Times New Roman"/>
                <w:sz w:val="24"/>
                <w:szCs w:val="24"/>
              </w:rPr>
              <w:t>6</w:t>
            </w:r>
          </w:p>
        </w:tc>
        <w:tc>
          <w:tcPr>
            <w:tcW w:w="2340" w:type="dxa"/>
          </w:tcPr>
          <w:p w:rsidR="005F1088" w:rsidRPr="00134C2C" w:rsidRDefault="005F1088"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GPC travels in an anterior-inferior direction from the PPF</w:t>
            </w:r>
          </w:p>
        </w:tc>
        <w:tc>
          <w:tcPr>
            <w:tcW w:w="1170" w:type="dxa"/>
          </w:tcPr>
          <w:p w:rsidR="005F1088" w:rsidRPr="00134C2C" w:rsidRDefault="00EA339D"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16</w:t>
            </w:r>
          </w:p>
        </w:tc>
        <w:tc>
          <w:tcPr>
            <w:tcW w:w="1080" w:type="dxa"/>
          </w:tcPr>
          <w:p w:rsidR="005F1088" w:rsidRPr="00134C2C" w:rsidRDefault="00EA339D"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15</w:t>
            </w:r>
          </w:p>
        </w:tc>
        <w:tc>
          <w:tcPr>
            <w:tcW w:w="2160" w:type="dxa"/>
          </w:tcPr>
          <w:p w:rsidR="005F1088" w:rsidRPr="00134C2C" w:rsidRDefault="00EA339D"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12</w:t>
            </w:r>
          </w:p>
        </w:tc>
        <w:tc>
          <w:tcPr>
            <w:tcW w:w="1710" w:type="dxa"/>
          </w:tcPr>
          <w:p w:rsidR="005F1088" w:rsidRPr="00134C2C" w:rsidRDefault="00EA339D"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15.5%</w:t>
            </w:r>
          </w:p>
        </w:tc>
      </w:tr>
      <w:tr w:rsidR="00EA339D" w:rsidRPr="00134C2C" w:rsidTr="0050460D">
        <w:tc>
          <w:tcPr>
            <w:cnfStyle w:val="001000000000" w:firstRow="0" w:lastRow="0" w:firstColumn="1" w:lastColumn="0" w:oddVBand="0" w:evenVBand="0" w:oddHBand="0" w:evenHBand="0" w:firstRowFirstColumn="0" w:firstRowLastColumn="0" w:lastRowFirstColumn="0" w:lastRowLastColumn="0"/>
            <w:tcW w:w="1165" w:type="dxa"/>
          </w:tcPr>
          <w:p w:rsidR="005F1088" w:rsidRPr="00134C2C" w:rsidRDefault="005F1088"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Figure </w:t>
            </w:r>
            <w:r w:rsidR="00980FDF" w:rsidRPr="00134C2C">
              <w:rPr>
                <w:rFonts w:ascii="Times New Roman" w:hAnsi="Times New Roman" w:cs="Times New Roman"/>
                <w:sz w:val="24"/>
                <w:szCs w:val="24"/>
              </w:rPr>
              <w:t>7</w:t>
            </w:r>
          </w:p>
        </w:tc>
        <w:tc>
          <w:tcPr>
            <w:tcW w:w="2340" w:type="dxa"/>
          </w:tcPr>
          <w:p w:rsidR="005F1088" w:rsidRPr="00134C2C" w:rsidRDefault="005F1088"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GPC first travels in an inferior direction and then in an anterior-inferior direction through the remainder of the canal</w:t>
            </w:r>
          </w:p>
        </w:tc>
        <w:tc>
          <w:tcPr>
            <w:tcW w:w="1170" w:type="dxa"/>
          </w:tcPr>
          <w:p w:rsidR="005F1088" w:rsidRPr="00134C2C" w:rsidRDefault="00EA339D"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28</w:t>
            </w:r>
          </w:p>
        </w:tc>
        <w:tc>
          <w:tcPr>
            <w:tcW w:w="1080" w:type="dxa"/>
          </w:tcPr>
          <w:p w:rsidR="005F1088" w:rsidRPr="00134C2C" w:rsidRDefault="00EA339D"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34</w:t>
            </w:r>
          </w:p>
        </w:tc>
        <w:tc>
          <w:tcPr>
            <w:tcW w:w="2160" w:type="dxa"/>
          </w:tcPr>
          <w:p w:rsidR="005F1088" w:rsidRPr="00134C2C" w:rsidRDefault="00EA339D"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16</w:t>
            </w:r>
          </w:p>
        </w:tc>
        <w:tc>
          <w:tcPr>
            <w:tcW w:w="1710" w:type="dxa"/>
          </w:tcPr>
          <w:p w:rsidR="005F1088" w:rsidRPr="00134C2C" w:rsidRDefault="00EA339D"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31%</w:t>
            </w:r>
          </w:p>
        </w:tc>
      </w:tr>
      <w:tr w:rsidR="00EA339D" w:rsidRPr="00134C2C" w:rsidTr="00504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rsidR="005F1088" w:rsidRPr="00134C2C" w:rsidRDefault="005F1088"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Figure </w:t>
            </w:r>
            <w:r w:rsidR="00980FDF" w:rsidRPr="00134C2C">
              <w:rPr>
                <w:rFonts w:ascii="Times New Roman" w:hAnsi="Times New Roman" w:cs="Times New Roman"/>
                <w:sz w:val="24"/>
                <w:szCs w:val="24"/>
              </w:rPr>
              <w:t>8</w:t>
            </w:r>
          </w:p>
        </w:tc>
        <w:tc>
          <w:tcPr>
            <w:tcW w:w="2340" w:type="dxa"/>
          </w:tcPr>
          <w:p w:rsidR="005F1088" w:rsidRPr="00134C2C" w:rsidRDefault="005F1088"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 xml:space="preserve">The GPC first travels in an inferior direction and then changes to an </w:t>
            </w:r>
            <w:r w:rsidR="005672F1">
              <w:rPr>
                <w:rFonts w:ascii="Times New Roman" w:hAnsi="Times New Roman" w:cs="Times New Roman"/>
                <w:sz w:val="24"/>
                <w:szCs w:val="24"/>
              </w:rPr>
              <w:t>anterior-inferior direction,and subsequently in</w:t>
            </w:r>
            <w:r w:rsidRPr="00134C2C">
              <w:rPr>
                <w:rFonts w:ascii="Times New Roman" w:hAnsi="Times New Roman" w:cs="Times New Roman"/>
                <w:sz w:val="24"/>
                <w:szCs w:val="24"/>
              </w:rPr>
              <w:t xml:space="preserve"> </w:t>
            </w:r>
            <w:r w:rsidRPr="00134C2C">
              <w:rPr>
                <w:rFonts w:ascii="Times New Roman" w:hAnsi="Times New Roman" w:cs="Times New Roman"/>
                <w:sz w:val="24"/>
                <w:szCs w:val="24"/>
              </w:rPr>
              <w:lastRenderedPageBreak/>
              <w:t>inferior direction through the remainder of the canal</w:t>
            </w:r>
          </w:p>
        </w:tc>
        <w:tc>
          <w:tcPr>
            <w:tcW w:w="1170" w:type="dxa"/>
          </w:tcPr>
          <w:p w:rsidR="005F1088" w:rsidRPr="00134C2C" w:rsidRDefault="00DB3F70"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lastRenderedPageBreak/>
              <w:t>32</w:t>
            </w:r>
          </w:p>
        </w:tc>
        <w:tc>
          <w:tcPr>
            <w:tcW w:w="1080" w:type="dxa"/>
          </w:tcPr>
          <w:p w:rsidR="005F1088" w:rsidRPr="00134C2C" w:rsidRDefault="00EA339D"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31</w:t>
            </w:r>
          </w:p>
        </w:tc>
        <w:tc>
          <w:tcPr>
            <w:tcW w:w="2160" w:type="dxa"/>
          </w:tcPr>
          <w:p w:rsidR="005F1088" w:rsidRPr="00134C2C" w:rsidRDefault="00EA339D"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22</w:t>
            </w:r>
          </w:p>
        </w:tc>
        <w:tc>
          <w:tcPr>
            <w:tcW w:w="1710" w:type="dxa"/>
          </w:tcPr>
          <w:p w:rsidR="005F1088" w:rsidRPr="00134C2C" w:rsidRDefault="00DB3F70"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31.5</w:t>
            </w:r>
            <w:r w:rsidR="00EA339D" w:rsidRPr="00134C2C">
              <w:rPr>
                <w:rFonts w:ascii="Times New Roman" w:hAnsi="Times New Roman" w:cs="Times New Roman"/>
                <w:sz w:val="24"/>
                <w:szCs w:val="24"/>
              </w:rPr>
              <w:t>%</w:t>
            </w:r>
          </w:p>
        </w:tc>
      </w:tr>
      <w:tr w:rsidR="00EA339D" w:rsidRPr="00134C2C" w:rsidTr="0050460D">
        <w:tc>
          <w:tcPr>
            <w:cnfStyle w:val="001000000000" w:firstRow="0" w:lastRow="0" w:firstColumn="1" w:lastColumn="0" w:oddVBand="0" w:evenVBand="0" w:oddHBand="0" w:evenHBand="0" w:firstRowFirstColumn="0" w:firstRowLastColumn="0" w:lastRowFirstColumn="0" w:lastRowLastColumn="0"/>
            <w:tcW w:w="1165" w:type="dxa"/>
          </w:tcPr>
          <w:p w:rsidR="00EA339D" w:rsidRPr="00134C2C" w:rsidRDefault="00EA339D" w:rsidP="00134C2C">
            <w:pPr>
              <w:jc w:val="both"/>
              <w:rPr>
                <w:rFonts w:ascii="Times New Roman" w:hAnsi="Times New Roman" w:cs="Times New Roman"/>
                <w:sz w:val="24"/>
                <w:szCs w:val="24"/>
              </w:rPr>
            </w:pPr>
            <w:r w:rsidRPr="00134C2C">
              <w:rPr>
                <w:rFonts w:ascii="Times New Roman" w:hAnsi="Times New Roman" w:cs="Times New Roman"/>
                <w:sz w:val="24"/>
                <w:szCs w:val="24"/>
              </w:rPr>
              <w:lastRenderedPageBreak/>
              <w:t xml:space="preserve">Figure </w:t>
            </w:r>
            <w:r w:rsidR="00980FDF" w:rsidRPr="00134C2C">
              <w:rPr>
                <w:rFonts w:ascii="Times New Roman" w:hAnsi="Times New Roman" w:cs="Times New Roman"/>
                <w:sz w:val="24"/>
                <w:szCs w:val="24"/>
              </w:rPr>
              <w:t>9</w:t>
            </w:r>
          </w:p>
        </w:tc>
        <w:tc>
          <w:tcPr>
            <w:tcW w:w="2340" w:type="dxa"/>
          </w:tcPr>
          <w:p w:rsidR="00EA339D" w:rsidRPr="00134C2C" w:rsidRDefault="00EA339D"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 xml:space="preserve">The GPC travels in </w:t>
            </w:r>
          </w:p>
          <w:p w:rsidR="00EA339D" w:rsidRPr="00134C2C" w:rsidRDefault="00EA339D"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 xml:space="preserve">a directly inferior direction </w:t>
            </w:r>
          </w:p>
          <w:p w:rsidR="00EA339D" w:rsidRPr="00134C2C" w:rsidRDefault="00EA339D"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from the PPF</w:t>
            </w:r>
          </w:p>
        </w:tc>
        <w:tc>
          <w:tcPr>
            <w:tcW w:w="1170" w:type="dxa"/>
          </w:tcPr>
          <w:p w:rsidR="00EA339D" w:rsidRPr="00134C2C" w:rsidRDefault="00DB3F70"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24</w:t>
            </w:r>
          </w:p>
        </w:tc>
        <w:tc>
          <w:tcPr>
            <w:tcW w:w="1080" w:type="dxa"/>
          </w:tcPr>
          <w:p w:rsidR="00EA339D" w:rsidRPr="00134C2C" w:rsidRDefault="00EA339D"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20</w:t>
            </w:r>
          </w:p>
        </w:tc>
        <w:tc>
          <w:tcPr>
            <w:tcW w:w="2160" w:type="dxa"/>
          </w:tcPr>
          <w:p w:rsidR="00EA339D" w:rsidRPr="00134C2C" w:rsidRDefault="00EA339D"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14</w:t>
            </w:r>
          </w:p>
        </w:tc>
        <w:tc>
          <w:tcPr>
            <w:tcW w:w="1710" w:type="dxa"/>
          </w:tcPr>
          <w:p w:rsidR="00EA339D" w:rsidRPr="00134C2C" w:rsidRDefault="00DB3F70"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22%</w:t>
            </w:r>
          </w:p>
        </w:tc>
      </w:tr>
    </w:tbl>
    <w:p w:rsidR="005F1088" w:rsidRPr="00134C2C" w:rsidRDefault="005F1088" w:rsidP="00134C2C">
      <w:pPr>
        <w:jc w:val="both"/>
        <w:rPr>
          <w:rFonts w:ascii="Times New Roman" w:hAnsi="Times New Roman" w:cs="Times New Roman"/>
          <w:sz w:val="24"/>
          <w:szCs w:val="24"/>
        </w:rPr>
      </w:pPr>
    </w:p>
    <w:p w:rsidR="00980FDF" w:rsidRPr="00134C2C" w:rsidRDefault="00980FDF" w:rsidP="00134C2C">
      <w:pPr>
        <w:jc w:val="both"/>
        <w:rPr>
          <w:rFonts w:ascii="Times New Roman" w:hAnsi="Times New Roman" w:cs="Times New Roman"/>
          <w:sz w:val="24"/>
          <w:szCs w:val="24"/>
        </w:rPr>
      </w:pPr>
      <w:r w:rsidRPr="00134C2C">
        <w:rPr>
          <w:rFonts w:ascii="Times New Roman" w:hAnsi="Times New Roman" w:cs="Times New Roman"/>
          <w:noProof/>
          <w:sz w:val="24"/>
          <w:szCs w:val="24"/>
        </w:rPr>
        <w:drawing>
          <wp:inline distT="0" distB="0" distL="0" distR="0" wp14:anchorId="3C8EBC7B" wp14:editId="4AE18FF4">
            <wp:extent cx="2895600" cy="215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5600" cy="2152650"/>
                    </a:xfrm>
                    <a:prstGeom prst="rect">
                      <a:avLst/>
                    </a:prstGeom>
                  </pic:spPr>
                </pic:pic>
              </a:graphicData>
            </a:graphic>
          </wp:inline>
        </w:drawing>
      </w:r>
      <w:r w:rsidRPr="00134C2C">
        <w:rPr>
          <w:rFonts w:ascii="Times New Roman" w:hAnsi="Times New Roman" w:cs="Times New Roman"/>
          <w:sz w:val="24"/>
          <w:szCs w:val="24"/>
        </w:rPr>
        <w:t xml:space="preserve"> (Fig</w:t>
      </w:r>
      <w:r w:rsidR="00134C2C">
        <w:rPr>
          <w:rFonts w:ascii="Times New Roman" w:hAnsi="Times New Roman" w:cs="Times New Roman"/>
          <w:sz w:val="24"/>
          <w:szCs w:val="24"/>
        </w:rPr>
        <w:t>ure</w:t>
      </w:r>
      <w:r w:rsidRPr="00134C2C">
        <w:rPr>
          <w:rFonts w:ascii="Times New Roman" w:hAnsi="Times New Roman" w:cs="Times New Roman"/>
          <w:sz w:val="24"/>
          <w:szCs w:val="24"/>
        </w:rPr>
        <w:t xml:space="preserve"> 6)</w:t>
      </w:r>
    </w:p>
    <w:p w:rsidR="00980FDF" w:rsidRPr="00134C2C" w:rsidRDefault="00980FDF" w:rsidP="00134C2C">
      <w:pPr>
        <w:jc w:val="both"/>
        <w:rPr>
          <w:rFonts w:ascii="Times New Roman" w:hAnsi="Times New Roman" w:cs="Times New Roman"/>
          <w:sz w:val="24"/>
          <w:szCs w:val="24"/>
        </w:rPr>
      </w:pPr>
      <w:r w:rsidRPr="00134C2C">
        <w:rPr>
          <w:rFonts w:ascii="Times New Roman" w:hAnsi="Times New Roman" w:cs="Times New Roman"/>
          <w:noProof/>
          <w:sz w:val="24"/>
          <w:szCs w:val="24"/>
        </w:rPr>
        <w:drawing>
          <wp:inline distT="0" distB="0" distL="0" distR="0" wp14:anchorId="57A4B94A" wp14:editId="65652C9D">
            <wp:extent cx="2847975" cy="2114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7975" cy="2114550"/>
                    </a:xfrm>
                    <a:prstGeom prst="rect">
                      <a:avLst/>
                    </a:prstGeom>
                  </pic:spPr>
                </pic:pic>
              </a:graphicData>
            </a:graphic>
          </wp:inline>
        </w:drawing>
      </w:r>
      <w:r w:rsidRPr="00134C2C">
        <w:rPr>
          <w:rFonts w:ascii="Times New Roman" w:hAnsi="Times New Roman" w:cs="Times New Roman"/>
          <w:sz w:val="24"/>
          <w:szCs w:val="24"/>
        </w:rPr>
        <w:t>(Fig</w:t>
      </w:r>
      <w:r w:rsidR="00143958">
        <w:rPr>
          <w:rFonts w:ascii="Times New Roman" w:hAnsi="Times New Roman" w:cs="Times New Roman"/>
          <w:sz w:val="24"/>
          <w:szCs w:val="24"/>
        </w:rPr>
        <w:t>ure</w:t>
      </w:r>
      <w:r w:rsidRPr="00134C2C">
        <w:rPr>
          <w:rFonts w:ascii="Times New Roman" w:hAnsi="Times New Roman" w:cs="Times New Roman"/>
          <w:sz w:val="24"/>
          <w:szCs w:val="24"/>
        </w:rPr>
        <w:t xml:space="preserve"> 7)</w:t>
      </w:r>
    </w:p>
    <w:p w:rsidR="00980FDF" w:rsidRPr="00134C2C" w:rsidRDefault="00980FDF" w:rsidP="00134C2C">
      <w:pPr>
        <w:jc w:val="both"/>
        <w:rPr>
          <w:rFonts w:ascii="Times New Roman" w:hAnsi="Times New Roman" w:cs="Times New Roman"/>
          <w:sz w:val="24"/>
          <w:szCs w:val="24"/>
        </w:rPr>
      </w:pPr>
    </w:p>
    <w:p w:rsidR="002F6DAF" w:rsidRPr="00134C2C" w:rsidRDefault="00E50C6D" w:rsidP="00134C2C">
      <w:pPr>
        <w:jc w:val="both"/>
        <w:rPr>
          <w:rFonts w:ascii="Times New Roman" w:hAnsi="Times New Roman" w:cs="Times New Roman"/>
          <w:sz w:val="24"/>
          <w:szCs w:val="24"/>
        </w:rPr>
      </w:pPr>
      <w:r w:rsidRPr="00134C2C">
        <w:rPr>
          <w:rFonts w:ascii="Times New Roman" w:hAnsi="Times New Roman" w:cs="Times New Roman"/>
          <w:noProof/>
          <w:sz w:val="24"/>
          <w:szCs w:val="24"/>
        </w:rPr>
        <w:lastRenderedPageBreak/>
        <w:drawing>
          <wp:inline distT="0" distB="0" distL="0" distR="0" wp14:anchorId="5588EDB2" wp14:editId="26C2A8FD">
            <wp:extent cx="2857500" cy="1933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7500" cy="1933575"/>
                    </a:xfrm>
                    <a:prstGeom prst="rect">
                      <a:avLst/>
                    </a:prstGeom>
                  </pic:spPr>
                </pic:pic>
              </a:graphicData>
            </a:graphic>
          </wp:inline>
        </w:drawing>
      </w:r>
      <w:r w:rsidR="00980FDF" w:rsidRPr="00134C2C">
        <w:rPr>
          <w:rFonts w:ascii="Times New Roman" w:hAnsi="Times New Roman" w:cs="Times New Roman"/>
          <w:sz w:val="24"/>
          <w:szCs w:val="24"/>
        </w:rPr>
        <w:t>(Fig</w:t>
      </w:r>
      <w:r w:rsidR="00143958">
        <w:rPr>
          <w:rFonts w:ascii="Times New Roman" w:hAnsi="Times New Roman" w:cs="Times New Roman"/>
          <w:sz w:val="24"/>
          <w:szCs w:val="24"/>
        </w:rPr>
        <w:t>ure</w:t>
      </w:r>
      <w:r w:rsidR="00980FDF" w:rsidRPr="00134C2C">
        <w:rPr>
          <w:rFonts w:ascii="Times New Roman" w:hAnsi="Times New Roman" w:cs="Times New Roman"/>
          <w:sz w:val="24"/>
          <w:szCs w:val="24"/>
        </w:rPr>
        <w:t xml:space="preserve"> 8)</w:t>
      </w:r>
    </w:p>
    <w:p w:rsidR="00980FDF" w:rsidRPr="00134C2C" w:rsidRDefault="00980FDF" w:rsidP="00134C2C">
      <w:pPr>
        <w:jc w:val="both"/>
        <w:rPr>
          <w:rFonts w:ascii="Times New Roman" w:hAnsi="Times New Roman" w:cs="Times New Roman"/>
          <w:sz w:val="24"/>
          <w:szCs w:val="24"/>
        </w:rPr>
      </w:pPr>
    </w:p>
    <w:p w:rsidR="00E50C6D" w:rsidRPr="00134C2C" w:rsidRDefault="0013663C" w:rsidP="00134C2C">
      <w:pPr>
        <w:jc w:val="both"/>
        <w:rPr>
          <w:rFonts w:ascii="Times New Roman" w:hAnsi="Times New Roman" w:cs="Times New Roman"/>
          <w:sz w:val="24"/>
          <w:szCs w:val="24"/>
        </w:rPr>
      </w:pPr>
      <w:r w:rsidRPr="00134C2C">
        <w:rPr>
          <w:rFonts w:ascii="Times New Roman" w:hAnsi="Times New Roman" w:cs="Times New Roman"/>
          <w:noProof/>
          <w:sz w:val="24"/>
          <w:szCs w:val="24"/>
        </w:rPr>
        <w:drawing>
          <wp:inline distT="0" distB="0" distL="0" distR="0" wp14:anchorId="05EB6820" wp14:editId="1A745A6B">
            <wp:extent cx="2562225" cy="2028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2225" cy="2028825"/>
                    </a:xfrm>
                    <a:prstGeom prst="rect">
                      <a:avLst/>
                    </a:prstGeom>
                  </pic:spPr>
                </pic:pic>
              </a:graphicData>
            </a:graphic>
          </wp:inline>
        </w:drawing>
      </w:r>
      <w:r w:rsidR="00143958">
        <w:rPr>
          <w:rFonts w:ascii="Times New Roman" w:hAnsi="Times New Roman" w:cs="Times New Roman"/>
          <w:sz w:val="24"/>
          <w:szCs w:val="24"/>
        </w:rPr>
        <w:t>(F</w:t>
      </w:r>
      <w:r w:rsidR="00134C2C" w:rsidRPr="00134C2C">
        <w:rPr>
          <w:rFonts w:ascii="Times New Roman" w:hAnsi="Times New Roman" w:cs="Times New Roman"/>
          <w:sz w:val="24"/>
          <w:szCs w:val="24"/>
        </w:rPr>
        <w:t>ig</w:t>
      </w:r>
      <w:r w:rsidR="00143958">
        <w:rPr>
          <w:rFonts w:ascii="Times New Roman" w:hAnsi="Times New Roman" w:cs="Times New Roman"/>
          <w:sz w:val="24"/>
          <w:szCs w:val="24"/>
        </w:rPr>
        <w:t>ure</w:t>
      </w:r>
      <w:r w:rsidR="00134C2C" w:rsidRPr="00134C2C">
        <w:rPr>
          <w:rFonts w:ascii="Times New Roman" w:hAnsi="Times New Roman" w:cs="Times New Roman"/>
          <w:sz w:val="24"/>
          <w:szCs w:val="24"/>
        </w:rPr>
        <w:t xml:space="preserve"> 9)</w:t>
      </w:r>
    </w:p>
    <w:p w:rsidR="00645727" w:rsidRPr="00134C2C" w:rsidRDefault="0089284F" w:rsidP="00134C2C">
      <w:pPr>
        <w:jc w:val="both"/>
        <w:rPr>
          <w:rFonts w:ascii="Times New Roman" w:hAnsi="Times New Roman" w:cs="Times New Roman"/>
          <w:sz w:val="24"/>
          <w:szCs w:val="24"/>
        </w:rPr>
      </w:pPr>
      <w:r w:rsidRPr="00134C2C">
        <w:rPr>
          <w:rFonts w:ascii="Times New Roman" w:hAnsi="Times New Roman" w:cs="Times New Roman"/>
          <w:b/>
          <w:sz w:val="24"/>
          <w:szCs w:val="24"/>
        </w:rPr>
        <w:t>IN THE CORONAL PLANE</w:t>
      </w:r>
      <w:r w:rsidRPr="00134C2C">
        <w:rPr>
          <w:rFonts w:ascii="Times New Roman" w:hAnsi="Times New Roman" w:cs="Times New Roman"/>
          <w:sz w:val="24"/>
          <w:szCs w:val="24"/>
        </w:rPr>
        <w:t xml:space="preserve">: </w:t>
      </w:r>
    </w:p>
    <w:tbl>
      <w:tblPr>
        <w:tblStyle w:val="PlainTable1"/>
        <w:tblW w:w="0" w:type="auto"/>
        <w:tblLook w:val="04A0" w:firstRow="1" w:lastRow="0" w:firstColumn="1" w:lastColumn="0" w:noHBand="0" w:noVBand="1"/>
      </w:tblPr>
      <w:tblGrid>
        <w:gridCol w:w="1345"/>
        <w:gridCol w:w="2205"/>
        <w:gridCol w:w="1070"/>
        <w:gridCol w:w="1070"/>
        <w:gridCol w:w="2070"/>
        <w:gridCol w:w="1590"/>
      </w:tblGrid>
      <w:tr w:rsidR="00DB3F70" w:rsidRPr="00134C2C" w:rsidTr="00980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rsidR="00DB3F70" w:rsidRPr="00134C2C" w:rsidRDefault="00DB3F70" w:rsidP="00134C2C">
            <w:pPr>
              <w:jc w:val="both"/>
              <w:rPr>
                <w:rFonts w:ascii="Times New Roman" w:hAnsi="Times New Roman" w:cs="Times New Roman"/>
                <w:sz w:val="24"/>
                <w:szCs w:val="24"/>
              </w:rPr>
            </w:pPr>
            <w:r w:rsidRPr="00134C2C">
              <w:rPr>
                <w:rFonts w:ascii="Times New Roman" w:hAnsi="Times New Roman" w:cs="Times New Roman"/>
                <w:sz w:val="24"/>
                <w:szCs w:val="24"/>
              </w:rPr>
              <w:t>FIGURE</w:t>
            </w:r>
          </w:p>
        </w:tc>
        <w:tc>
          <w:tcPr>
            <w:tcW w:w="2205" w:type="dxa"/>
          </w:tcPr>
          <w:p w:rsidR="00DB3F70" w:rsidRPr="00134C2C" w:rsidRDefault="00DB3F70" w:rsidP="00134C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PATHWAY</w:t>
            </w:r>
          </w:p>
        </w:tc>
        <w:tc>
          <w:tcPr>
            <w:tcW w:w="1070" w:type="dxa"/>
          </w:tcPr>
          <w:p w:rsidR="00DB3F70" w:rsidRPr="00134C2C" w:rsidRDefault="00DB3F70" w:rsidP="00134C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RIGHT CANAL</w:t>
            </w:r>
          </w:p>
        </w:tc>
        <w:tc>
          <w:tcPr>
            <w:tcW w:w="1070" w:type="dxa"/>
          </w:tcPr>
          <w:p w:rsidR="00DB3F70" w:rsidRPr="00134C2C" w:rsidRDefault="00DB3F70" w:rsidP="00134C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LEFT CANAL</w:t>
            </w:r>
          </w:p>
        </w:tc>
        <w:tc>
          <w:tcPr>
            <w:tcW w:w="2070" w:type="dxa"/>
          </w:tcPr>
          <w:p w:rsidR="00DB3F70" w:rsidRPr="00134C2C" w:rsidRDefault="0050460D" w:rsidP="00134C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BILATERAL</w:t>
            </w:r>
            <w:r w:rsidR="00DB3F70" w:rsidRPr="00134C2C">
              <w:rPr>
                <w:rFonts w:ascii="Times New Roman" w:hAnsi="Times New Roman" w:cs="Times New Roman"/>
                <w:sz w:val="24"/>
                <w:szCs w:val="24"/>
              </w:rPr>
              <w:t>LY SYMMETRICAL</w:t>
            </w:r>
          </w:p>
        </w:tc>
        <w:tc>
          <w:tcPr>
            <w:tcW w:w="1590" w:type="dxa"/>
          </w:tcPr>
          <w:p w:rsidR="00DB3F70" w:rsidRPr="00134C2C" w:rsidRDefault="00DB3F70" w:rsidP="00134C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OVERALL INCIDENCE</w:t>
            </w:r>
          </w:p>
        </w:tc>
      </w:tr>
      <w:tr w:rsidR="00DB3F70" w:rsidRPr="00134C2C" w:rsidTr="00980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rsidR="00DB3F70" w:rsidRPr="00134C2C" w:rsidRDefault="00DB3F70"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Figure </w:t>
            </w:r>
            <w:r w:rsidR="00980FDF" w:rsidRPr="00134C2C">
              <w:rPr>
                <w:rFonts w:ascii="Times New Roman" w:hAnsi="Times New Roman" w:cs="Times New Roman"/>
                <w:sz w:val="24"/>
                <w:szCs w:val="24"/>
              </w:rPr>
              <w:t>10</w:t>
            </w:r>
          </w:p>
        </w:tc>
        <w:tc>
          <w:tcPr>
            <w:tcW w:w="2205" w:type="dxa"/>
          </w:tcPr>
          <w:p w:rsidR="00DB3F70" w:rsidRPr="00134C2C" w:rsidRDefault="00DB3F70"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The GPC travels in an inferior-lateral direction from the PPF and then in a directly inferior direction</w:t>
            </w:r>
          </w:p>
        </w:tc>
        <w:tc>
          <w:tcPr>
            <w:tcW w:w="1070" w:type="dxa"/>
          </w:tcPr>
          <w:p w:rsidR="00DB3F70" w:rsidRPr="00134C2C" w:rsidRDefault="00DB3F70"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15</w:t>
            </w:r>
          </w:p>
        </w:tc>
        <w:tc>
          <w:tcPr>
            <w:tcW w:w="1070" w:type="dxa"/>
          </w:tcPr>
          <w:p w:rsidR="00DB3F70" w:rsidRPr="00134C2C" w:rsidRDefault="00DB3F70"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9</w:t>
            </w:r>
          </w:p>
        </w:tc>
        <w:tc>
          <w:tcPr>
            <w:tcW w:w="2070" w:type="dxa"/>
          </w:tcPr>
          <w:p w:rsidR="00DB3F70" w:rsidRPr="00134C2C" w:rsidRDefault="00DB3F70"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5</w:t>
            </w:r>
          </w:p>
        </w:tc>
        <w:tc>
          <w:tcPr>
            <w:tcW w:w="1590" w:type="dxa"/>
          </w:tcPr>
          <w:p w:rsidR="00DB3F70" w:rsidRPr="00134C2C" w:rsidRDefault="00DB3F70"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12%</w:t>
            </w:r>
          </w:p>
        </w:tc>
      </w:tr>
      <w:tr w:rsidR="00DB3F70" w:rsidRPr="00134C2C" w:rsidTr="00980FDF">
        <w:tc>
          <w:tcPr>
            <w:cnfStyle w:val="001000000000" w:firstRow="0" w:lastRow="0" w:firstColumn="1" w:lastColumn="0" w:oddVBand="0" w:evenVBand="0" w:oddHBand="0" w:evenHBand="0" w:firstRowFirstColumn="0" w:firstRowLastColumn="0" w:lastRowFirstColumn="0" w:lastRowLastColumn="0"/>
            <w:tcW w:w="1345" w:type="dxa"/>
          </w:tcPr>
          <w:p w:rsidR="00DB3F70" w:rsidRPr="00134C2C" w:rsidRDefault="00DB3F70"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Figure </w:t>
            </w:r>
            <w:r w:rsidR="00980FDF" w:rsidRPr="00134C2C">
              <w:rPr>
                <w:rFonts w:ascii="Times New Roman" w:hAnsi="Times New Roman" w:cs="Times New Roman"/>
                <w:sz w:val="24"/>
                <w:szCs w:val="24"/>
              </w:rPr>
              <w:t>11</w:t>
            </w:r>
          </w:p>
        </w:tc>
        <w:tc>
          <w:tcPr>
            <w:tcW w:w="2205" w:type="dxa"/>
          </w:tcPr>
          <w:p w:rsidR="00DB3F70" w:rsidRPr="00134C2C" w:rsidRDefault="00DB3F70"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The GPC travels in an inferior-lateral direction for a certain distance and then changes to an inferior-medial direction through the remainder of the canal</w:t>
            </w:r>
          </w:p>
        </w:tc>
        <w:tc>
          <w:tcPr>
            <w:tcW w:w="1070" w:type="dxa"/>
          </w:tcPr>
          <w:p w:rsidR="00DB3F70" w:rsidRPr="00134C2C" w:rsidRDefault="00DB3F70"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35</w:t>
            </w:r>
          </w:p>
        </w:tc>
        <w:tc>
          <w:tcPr>
            <w:tcW w:w="1070" w:type="dxa"/>
          </w:tcPr>
          <w:p w:rsidR="00DB3F70" w:rsidRPr="00134C2C" w:rsidRDefault="00DB3F70"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30</w:t>
            </w:r>
          </w:p>
        </w:tc>
        <w:tc>
          <w:tcPr>
            <w:tcW w:w="2070" w:type="dxa"/>
          </w:tcPr>
          <w:p w:rsidR="00DB3F70" w:rsidRPr="00134C2C" w:rsidRDefault="00DB3F70"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19</w:t>
            </w:r>
          </w:p>
        </w:tc>
        <w:tc>
          <w:tcPr>
            <w:tcW w:w="1590" w:type="dxa"/>
          </w:tcPr>
          <w:p w:rsidR="00DB3F70" w:rsidRPr="00134C2C" w:rsidRDefault="00DB3F70"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32.5%</w:t>
            </w:r>
          </w:p>
        </w:tc>
      </w:tr>
      <w:tr w:rsidR="00DB3F70" w:rsidRPr="00134C2C" w:rsidTr="00980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rsidR="00DB3F70" w:rsidRPr="00134C2C" w:rsidRDefault="00DB3F70"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Figure </w:t>
            </w:r>
            <w:r w:rsidR="00980FDF" w:rsidRPr="00134C2C">
              <w:rPr>
                <w:rFonts w:ascii="Times New Roman" w:hAnsi="Times New Roman" w:cs="Times New Roman"/>
                <w:sz w:val="24"/>
                <w:szCs w:val="24"/>
              </w:rPr>
              <w:t>12</w:t>
            </w:r>
          </w:p>
        </w:tc>
        <w:tc>
          <w:tcPr>
            <w:tcW w:w="2205" w:type="dxa"/>
          </w:tcPr>
          <w:p w:rsidR="00DB3F70" w:rsidRPr="00134C2C" w:rsidRDefault="00DB3F70"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The GPC first travels in an inferior-</w:t>
            </w:r>
            <w:r w:rsidRPr="00134C2C">
              <w:rPr>
                <w:rFonts w:ascii="Times New Roman" w:hAnsi="Times New Roman" w:cs="Times New Roman"/>
                <w:sz w:val="24"/>
                <w:szCs w:val="24"/>
              </w:rPr>
              <w:lastRenderedPageBreak/>
              <w:t>lateral direction and then in a directly inferior direction, and finally in an inferior-medial direction</w:t>
            </w:r>
          </w:p>
        </w:tc>
        <w:tc>
          <w:tcPr>
            <w:tcW w:w="1070" w:type="dxa"/>
          </w:tcPr>
          <w:p w:rsidR="00DB3F70" w:rsidRPr="00134C2C" w:rsidRDefault="00DB3F70"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lastRenderedPageBreak/>
              <w:t>23</w:t>
            </w:r>
          </w:p>
        </w:tc>
        <w:tc>
          <w:tcPr>
            <w:tcW w:w="1070" w:type="dxa"/>
          </w:tcPr>
          <w:p w:rsidR="00DB3F70" w:rsidRPr="00134C2C" w:rsidRDefault="00DB3F70"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34</w:t>
            </w:r>
          </w:p>
        </w:tc>
        <w:tc>
          <w:tcPr>
            <w:tcW w:w="2070" w:type="dxa"/>
          </w:tcPr>
          <w:p w:rsidR="00DB3F70" w:rsidRPr="00134C2C" w:rsidRDefault="00DB3F70"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15</w:t>
            </w:r>
          </w:p>
        </w:tc>
        <w:tc>
          <w:tcPr>
            <w:tcW w:w="1590" w:type="dxa"/>
          </w:tcPr>
          <w:p w:rsidR="00DB3F70" w:rsidRPr="00134C2C" w:rsidRDefault="00DB3F70"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26.5%</w:t>
            </w:r>
          </w:p>
        </w:tc>
      </w:tr>
      <w:tr w:rsidR="00DB3F70" w:rsidRPr="00134C2C" w:rsidTr="00980FDF">
        <w:tc>
          <w:tcPr>
            <w:cnfStyle w:val="001000000000" w:firstRow="0" w:lastRow="0" w:firstColumn="1" w:lastColumn="0" w:oddVBand="0" w:evenVBand="0" w:oddHBand="0" w:evenHBand="0" w:firstRowFirstColumn="0" w:firstRowLastColumn="0" w:lastRowFirstColumn="0" w:lastRowLastColumn="0"/>
            <w:tcW w:w="1345" w:type="dxa"/>
          </w:tcPr>
          <w:p w:rsidR="00DB3F70" w:rsidRPr="00134C2C" w:rsidRDefault="00DB3F70" w:rsidP="00134C2C">
            <w:pPr>
              <w:jc w:val="both"/>
              <w:rPr>
                <w:rFonts w:ascii="Times New Roman" w:hAnsi="Times New Roman" w:cs="Times New Roman"/>
                <w:sz w:val="24"/>
                <w:szCs w:val="24"/>
              </w:rPr>
            </w:pPr>
            <w:r w:rsidRPr="00134C2C">
              <w:rPr>
                <w:rFonts w:ascii="Times New Roman" w:hAnsi="Times New Roman" w:cs="Times New Roman"/>
                <w:sz w:val="24"/>
                <w:szCs w:val="24"/>
              </w:rPr>
              <w:lastRenderedPageBreak/>
              <w:t xml:space="preserve">Figure </w:t>
            </w:r>
            <w:r w:rsidR="00980FDF" w:rsidRPr="00134C2C">
              <w:rPr>
                <w:rFonts w:ascii="Times New Roman" w:hAnsi="Times New Roman" w:cs="Times New Roman"/>
                <w:sz w:val="24"/>
                <w:szCs w:val="24"/>
              </w:rPr>
              <w:t>13</w:t>
            </w:r>
          </w:p>
        </w:tc>
        <w:tc>
          <w:tcPr>
            <w:tcW w:w="2205" w:type="dxa"/>
          </w:tcPr>
          <w:p w:rsidR="00DB3F70" w:rsidRPr="00134C2C" w:rsidRDefault="00DB3F70"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The GPC travels in a directly inferior direction from the PPF</w:t>
            </w:r>
          </w:p>
        </w:tc>
        <w:tc>
          <w:tcPr>
            <w:tcW w:w="1070" w:type="dxa"/>
          </w:tcPr>
          <w:p w:rsidR="00DB3F70" w:rsidRPr="00134C2C" w:rsidRDefault="00DB3F70"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16</w:t>
            </w:r>
          </w:p>
        </w:tc>
        <w:tc>
          <w:tcPr>
            <w:tcW w:w="1070" w:type="dxa"/>
          </w:tcPr>
          <w:p w:rsidR="00DB3F70" w:rsidRPr="00134C2C" w:rsidRDefault="00DB3F70"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15</w:t>
            </w:r>
          </w:p>
        </w:tc>
        <w:tc>
          <w:tcPr>
            <w:tcW w:w="2070" w:type="dxa"/>
          </w:tcPr>
          <w:p w:rsidR="00DB3F70" w:rsidRPr="00134C2C" w:rsidRDefault="005D72F9"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8</w:t>
            </w:r>
          </w:p>
        </w:tc>
        <w:tc>
          <w:tcPr>
            <w:tcW w:w="1590" w:type="dxa"/>
          </w:tcPr>
          <w:p w:rsidR="00DB3F70" w:rsidRPr="00134C2C" w:rsidRDefault="00DB3F70" w:rsidP="00134C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15.5%</w:t>
            </w:r>
          </w:p>
        </w:tc>
      </w:tr>
      <w:tr w:rsidR="005D72F9" w:rsidRPr="00134C2C" w:rsidTr="005672F1">
        <w:trPr>
          <w:cnfStyle w:val="000000100000" w:firstRow="0" w:lastRow="0" w:firstColumn="0" w:lastColumn="0" w:oddVBand="0" w:evenVBand="0" w:oddHBand="1" w:evenHBand="0"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1345" w:type="dxa"/>
          </w:tcPr>
          <w:p w:rsidR="005D72F9" w:rsidRPr="00134C2C" w:rsidRDefault="005D72F9" w:rsidP="00134C2C">
            <w:pPr>
              <w:jc w:val="both"/>
              <w:rPr>
                <w:rFonts w:ascii="Times New Roman" w:hAnsi="Times New Roman" w:cs="Times New Roman"/>
                <w:sz w:val="24"/>
                <w:szCs w:val="24"/>
              </w:rPr>
            </w:pPr>
            <w:r w:rsidRPr="00134C2C">
              <w:rPr>
                <w:rFonts w:ascii="Times New Roman" w:hAnsi="Times New Roman" w:cs="Times New Roman"/>
                <w:sz w:val="24"/>
                <w:szCs w:val="24"/>
              </w:rPr>
              <w:t>Figure</w:t>
            </w:r>
            <w:r w:rsidR="00980FDF" w:rsidRPr="00134C2C">
              <w:rPr>
                <w:rFonts w:ascii="Times New Roman" w:hAnsi="Times New Roman" w:cs="Times New Roman"/>
                <w:sz w:val="24"/>
                <w:szCs w:val="24"/>
              </w:rPr>
              <w:t xml:space="preserve"> 14   </w:t>
            </w:r>
            <w:r w:rsidRPr="00134C2C">
              <w:rPr>
                <w:rFonts w:ascii="Times New Roman" w:hAnsi="Times New Roman" w:cs="Times New Roman"/>
                <w:sz w:val="24"/>
                <w:szCs w:val="24"/>
              </w:rPr>
              <w:t xml:space="preserve"> </w:t>
            </w:r>
          </w:p>
        </w:tc>
        <w:tc>
          <w:tcPr>
            <w:tcW w:w="2205" w:type="dxa"/>
          </w:tcPr>
          <w:p w:rsidR="005D72F9" w:rsidRPr="00134C2C" w:rsidRDefault="005D72F9"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The GPC first travels in an inferior direction and then changes to an posterio-inferior direction, and subsequently to an</w:t>
            </w:r>
            <w:r w:rsidR="005672F1">
              <w:rPr>
                <w:rFonts w:ascii="Times New Roman" w:hAnsi="Times New Roman" w:cs="Times New Roman"/>
                <w:sz w:val="24"/>
                <w:szCs w:val="24"/>
              </w:rPr>
              <w:t xml:space="preserve"> inferior direction through </w:t>
            </w:r>
            <w:r w:rsidRPr="00134C2C">
              <w:rPr>
                <w:rFonts w:ascii="Times New Roman" w:hAnsi="Times New Roman" w:cs="Times New Roman"/>
                <w:sz w:val="24"/>
                <w:szCs w:val="24"/>
              </w:rPr>
              <w:t>remainder of the canal</w:t>
            </w:r>
          </w:p>
        </w:tc>
        <w:tc>
          <w:tcPr>
            <w:tcW w:w="1070" w:type="dxa"/>
          </w:tcPr>
          <w:p w:rsidR="005D72F9" w:rsidRPr="00134C2C" w:rsidRDefault="005D72F9"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11</w:t>
            </w:r>
          </w:p>
        </w:tc>
        <w:tc>
          <w:tcPr>
            <w:tcW w:w="1070" w:type="dxa"/>
          </w:tcPr>
          <w:p w:rsidR="005D72F9" w:rsidRPr="00134C2C" w:rsidRDefault="005D72F9"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12</w:t>
            </w:r>
          </w:p>
        </w:tc>
        <w:tc>
          <w:tcPr>
            <w:tcW w:w="2070" w:type="dxa"/>
          </w:tcPr>
          <w:p w:rsidR="005D72F9" w:rsidRPr="00134C2C" w:rsidRDefault="005D72F9"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4</w:t>
            </w:r>
          </w:p>
        </w:tc>
        <w:tc>
          <w:tcPr>
            <w:tcW w:w="1590" w:type="dxa"/>
          </w:tcPr>
          <w:p w:rsidR="005D72F9" w:rsidRPr="00134C2C" w:rsidRDefault="005D72F9" w:rsidP="00134C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C2C">
              <w:rPr>
                <w:rFonts w:ascii="Times New Roman" w:hAnsi="Times New Roman" w:cs="Times New Roman"/>
                <w:sz w:val="24"/>
                <w:szCs w:val="24"/>
              </w:rPr>
              <w:t>11.5%</w:t>
            </w:r>
          </w:p>
        </w:tc>
      </w:tr>
    </w:tbl>
    <w:p w:rsidR="00134C2C" w:rsidRPr="00134C2C" w:rsidRDefault="0072747C" w:rsidP="00134C2C">
      <w:pPr>
        <w:jc w:val="both"/>
        <w:rPr>
          <w:rFonts w:ascii="Times New Roman" w:hAnsi="Times New Roman" w:cs="Times New Roman"/>
          <w:sz w:val="24"/>
          <w:szCs w:val="24"/>
        </w:rPr>
      </w:pPr>
      <w:r w:rsidRPr="00134C2C">
        <w:rPr>
          <w:rFonts w:ascii="Times New Roman" w:hAnsi="Times New Roman" w:cs="Times New Roman"/>
          <w:noProof/>
          <w:sz w:val="24"/>
          <w:szCs w:val="24"/>
        </w:rPr>
        <w:drawing>
          <wp:inline distT="0" distB="0" distL="0" distR="0" wp14:anchorId="6BC14DFD" wp14:editId="71D9DA1E">
            <wp:extent cx="2409825" cy="2228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9825" cy="2228850"/>
                    </a:xfrm>
                    <a:prstGeom prst="rect">
                      <a:avLst/>
                    </a:prstGeom>
                  </pic:spPr>
                </pic:pic>
              </a:graphicData>
            </a:graphic>
          </wp:inline>
        </w:drawing>
      </w:r>
      <w:r w:rsidR="00134C2C" w:rsidRPr="00134C2C">
        <w:rPr>
          <w:rFonts w:ascii="Times New Roman" w:hAnsi="Times New Roman" w:cs="Times New Roman"/>
          <w:sz w:val="24"/>
          <w:szCs w:val="24"/>
        </w:rPr>
        <w:t>(Figure 10)</w:t>
      </w:r>
    </w:p>
    <w:p w:rsidR="00134C2C" w:rsidRPr="00134C2C" w:rsidRDefault="00134C2C" w:rsidP="00134C2C">
      <w:pPr>
        <w:jc w:val="both"/>
        <w:rPr>
          <w:rFonts w:ascii="Times New Roman" w:hAnsi="Times New Roman" w:cs="Times New Roman"/>
          <w:sz w:val="24"/>
          <w:szCs w:val="24"/>
        </w:rPr>
      </w:pPr>
      <w:r w:rsidRPr="00134C2C">
        <w:rPr>
          <w:rFonts w:ascii="Times New Roman" w:hAnsi="Times New Roman" w:cs="Times New Roman"/>
          <w:noProof/>
          <w:sz w:val="24"/>
          <w:szCs w:val="24"/>
        </w:rPr>
        <w:lastRenderedPageBreak/>
        <w:drawing>
          <wp:inline distT="0" distB="0" distL="0" distR="0" wp14:anchorId="50A7A589" wp14:editId="4A86602C">
            <wp:extent cx="2400300" cy="2295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00300" cy="2295525"/>
                    </a:xfrm>
                    <a:prstGeom prst="rect">
                      <a:avLst/>
                    </a:prstGeom>
                  </pic:spPr>
                </pic:pic>
              </a:graphicData>
            </a:graphic>
          </wp:inline>
        </w:drawing>
      </w:r>
      <w:r w:rsidRPr="00134C2C">
        <w:rPr>
          <w:rFonts w:ascii="Times New Roman" w:hAnsi="Times New Roman" w:cs="Times New Roman"/>
          <w:sz w:val="24"/>
          <w:szCs w:val="24"/>
        </w:rPr>
        <w:t xml:space="preserve"> (Figure 11)</w:t>
      </w:r>
    </w:p>
    <w:p w:rsidR="00134C2C" w:rsidRPr="00134C2C" w:rsidRDefault="00601C92" w:rsidP="00134C2C">
      <w:pPr>
        <w:jc w:val="both"/>
        <w:rPr>
          <w:rFonts w:ascii="Times New Roman" w:hAnsi="Times New Roman" w:cs="Times New Roman"/>
          <w:sz w:val="24"/>
          <w:szCs w:val="24"/>
        </w:rPr>
      </w:pPr>
      <w:r w:rsidRPr="00134C2C">
        <w:rPr>
          <w:rFonts w:ascii="Times New Roman" w:hAnsi="Times New Roman" w:cs="Times New Roman"/>
          <w:noProof/>
          <w:sz w:val="24"/>
          <w:szCs w:val="24"/>
        </w:rPr>
        <w:drawing>
          <wp:inline distT="0" distB="0" distL="0" distR="0" wp14:anchorId="5EB36085" wp14:editId="228AC022">
            <wp:extent cx="2343150" cy="2228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3150" cy="2228850"/>
                    </a:xfrm>
                    <a:prstGeom prst="rect">
                      <a:avLst/>
                    </a:prstGeom>
                  </pic:spPr>
                </pic:pic>
              </a:graphicData>
            </a:graphic>
          </wp:inline>
        </w:drawing>
      </w:r>
      <w:r w:rsidR="00134C2C" w:rsidRPr="00134C2C">
        <w:rPr>
          <w:rFonts w:ascii="Times New Roman" w:hAnsi="Times New Roman" w:cs="Times New Roman"/>
          <w:sz w:val="24"/>
          <w:szCs w:val="24"/>
        </w:rPr>
        <w:t>(Figure 12)</w:t>
      </w:r>
    </w:p>
    <w:p w:rsidR="00134C2C" w:rsidRPr="00134C2C" w:rsidRDefault="00134C2C" w:rsidP="00134C2C">
      <w:pPr>
        <w:jc w:val="both"/>
        <w:rPr>
          <w:rFonts w:ascii="Times New Roman" w:hAnsi="Times New Roman" w:cs="Times New Roman"/>
          <w:sz w:val="24"/>
          <w:szCs w:val="24"/>
        </w:rPr>
      </w:pPr>
    </w:p>
    <w:p w:rsidR="00DB3F70" w:rsidRPr="00134C2C" w:rsidRDefault="0013663C" w:rsidP="00134C2C">
      <w:pPr>
        <w:jc w:val="both"/>
        <w:rPr>
          <w:rFonts w:ascii="Times New Roman" w:hAnsi="Times New Roman" w:cs="Times New Roman"/>
          <w:sz w:val="24"/>
          <w:szCs w:val="24"/>
        </w:rPr>
      </w:pPr>
      <w:r w:rsidRPr="00134C2C">
        <w:rPr>
          <w:rFonts w:ascii="Times New Roman" w:hAnsi="Times New Roman" w:cs="Times New Roman"/>
          <w:noProof/>
          <w:sz w:val="24"/>
          <w:szCs w:val="24"/>
        </w:rPr>
        <w:drawing>
          <wp:inline distT="0" distB="0" distL="0" distR="0" wp14:anchorId="235534F1" wp14:editId="2E55BADE">
            <wp:extent cx="2314575" cy="2343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4575" cy="2343150"/>
                    </a:xfrm>
                    <a:prstGeom prst="rect">
                      <a:avLst/>
                    </a:prstGeom>
                  </pic:spPr>
                </pic:pic>
              </a:graphicData>
            </a:graphic>
          </wp:inline>
        </w:drawing>
      </w:r>
      <w:r w:rsidR="00134C2C" w:rsidRPr="00134C2C">
        <w:rPr>
          <w:rFonts w:ascii="Times New Roman" w:hAnsi="Times New Roman" w:cs="Times New Roman"/>
          <w:sz w:val="24"/>
          <w:szCs w:val="24"/>
        </w:rPr>
        <w:t>(Figure 13)</w:t>
      </w:r>
    </w:p>
    <w:p w:rsidR="00134C2C" w:rsidRPr="00134C2C" w:rsidRDefault="00134C2C" w:rsidP="00134C2C">
      <w:pPr>
        <w:jc w:val="both"/>
        <w:rPr>
          <w:rFonts w:ascii="Times New Roman" w:hAnsi="Times New Roman" w:cs="Times New Roman"/>
          <w:sz w:val="24"/>
          <w:szCs w:val="24"/>
        </w:rPr>
      </w:pPr>
      <w:r w:rsidRPr="00134C2C">
        <w:rPr>
          <w:rFonts w:ascii="Times New Roman" w:hAnsi="Times New Roman" w:cs="Times New Roman"/>
          <w:noProof/>
          <w:sz w:val="24"/>
          <w:szCs w:val="24"/>
        </w:rPr>
        <w:lastRenderedPageBreak/>
        <w:drawing>
          <wp:inline distT="0" distB="0" distL="0" distR="0" wp14:anchorId="355069C8" wp14:editId="68F6F818">
            <wp:extent cx="2486025" cy="2324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86025" cy="2324100"/>
                    </a:xfrm>
                    <a:prstGeom prst="rect">
                      <a:avLst/>
                    </a:prstGeom>
                  </pic:spPr>
                </pic:pic>
              </a:graphicData>
            </a:graphic>
          </wp:inline>
        </w:drawing>
      </w:r>
      <w:r w:rsidRPr="00134C2C">
        <w:rPr>
          <w:rFonts w:ascii="Times New Roman" w:hAnsi="Times New Roman" w:cs="Times New Roman"/>
          <w:sz w:val="24"/>
          <w:szCs w:val="24"/>
        </w:rPr>
        <w:t>(Figure 14)</w:t>
      </w:r>
    </w:p>
    <w:p w:rsidR="005672F1" w:rsidRDefault="005672F1" w:rsidP="00134C2C">
      <w:pPr>
        <w:jc w:val="both"/>
        <w:rPr>
          <w:rFonts w:ascii="Times New Roman" w:hAnsi="Times New Roman" w:cs="Times New Roman"/>
          <w:sz w:val="24"/>
          <w:szCs w:val="24"/>
        </w:rPr>
      </w:pPr>
    </w:p>
    <w:p w:rsidR="005672F1" w:rsidRDefault="005672F1" w:rsidP="00134C2C">
      <w:pPr>
        <w:jc w:val="both"/>
        <w:rPr>
          <w:rFonts w:ascii="Times New Roman" w:hAnsi="Times New Roman" w:cs="Times New Roman"/>
          <w:sz w:val="24"/>
          <w:szCs w:val="24"/>
        </w:rPr>
      </w:pPr>
    </w:p>
    <w:p w:rsidR="005D72F9" w:rsidRPr="00134C2C" w:rsidRDefault="005D72F9" w:rsidP="00134C2C">
      <w:pPr>
        <w:jc w:val="both"/>
        <w:rPr>
          <w:rFonts w:ascii="Times New Roman" w:hAnsi="Times New Roman" w:cs="Times New Roman"/>
          <w:sz w:val="24"/>
          <w:szCs w:val="24"/>
        </w:rPr>
      </w:pPr>
      <w:r w:rsidRPr="00134C2C">
        <w:rPr>
          <w:rFonts w:ascii="Times New Roman" w:hAnsi="Times New Roman" w:cs="Times New Roman"/>
          <w:sz w:val="24"/>
          <w:szCs w:val="24"/>
        </w:rPr>
        <w:t>DEGREE OF SYMMETRY BETWEEN THE PATHWAYS</w:t>
      </w:r>
      <w:r w:rsidR="00E50C6D" w:rsidRPr="00134C2C">
        <w:rPr>
          <w:rFonts w:ascii="Times New Roman" w:hAnsi="Times New Roman" w:cs="Times New Roman"/>
          <w:sz w:val="24"/>
          <w:szCs w:val="24"/>
        </w:rPr>
        <w:t xml:space="preserve"> ON RIGHT AND LEFT SIDES</w:t>
      </w:r>
    </w:p>
    <w:p w:rsidR="00645727" w:rsidRPr="00134C2C" w:rsidRDefault="005D72F9"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w:t>
      </w:r>
      <w:r w:rsidR="00645727" w:rsidRPr="00134C2C">
        <w:rPr>
          <w:rFonts w:ascii="Times New Roman" w:hAnsi="Times New Roman" w:cs="Times New Roman"/>
          <w:sz w:val="24"/>
          <w:szCs w:val="24"/>
        </w:rPr>
        <w:t>The different pathways and the degree of symmetry between the pathways on the right and left sides in the sagittal and coronal planes are shown in Figures 3 and 4 and in Table 3 (kappa), respectively.</w:t>
      </w:r>
    </w:p>
    <w:tbl>
      <w:tblPr>
        <w:tblStyle w:val="TableGrid"/>
        <w:tblW w:w="0" w:type="auto"/>
        <w:tblLook w:val="04A0" w:firstRow="1" w:lastRow="0" w:firstColumn="1" w:lastColumn="0" w:noHBand="0" w:noVBand="1"/>
      </w:tblPr>
      <w:tblGrid>
        <w:gridCol w:w="1435"/>
        <w:gridCol w:w="1358"/>
        <w:gridCol w:w="1792"/>
        <w:gridCol w:w="1530"/>
        <w:gridCol w:w="3235"/>
      </w:tblGrid>
      <w:tr w:rsidR="005B2648" w:rsidRPr="00134C2C" w:rsidTr="005B2648">
        <w:tc>
          <w:tcPr>
            <w:tcW w:w="1435"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PLANE</w:t>
            </w:r>
          </w:p>
        </w:tc>
        <w:tc>
          <w:tcPr>
            <w:tcW w:w="1358"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Sex </w:t>
            </w:r>
          </w:p>
        </w:tc>
        <w:tc>
          <w:tcPr>
            <w:tcW w:w="1792"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n</w:t>
            </w:r>
          </w:p>
        </w:tc>
        <w:tc>
          <w:tcPr>
            <w:tcW w:w="1530"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Kappa value</w:t>
            </w:r>
          </w:p>
        </w:tc>
        <w:tc>
          <w:tcPr>
            <w:tcW w:w="3235" w:type="dxa"/>
          </w:tcPr>
          <w:p w:rsidR="005B2648" w:rsidRPr="00134C2C" w:rsidRDefault="005B2648" w:rsidP="00134C2C">
            <w:pPr>
              <w:jc w:val="both"/>
              <w:rPr>
                <w:rFonts w:ascii="Times New Roman" w:hAnsi="Times New Roman" w:cs="Times New Roman"/>
                <w:sz w:val="24"/>
                <w:szCs w:val="24"/>
              </w:rPr>
            </w:pPr>
            <w:r>
              <w:rPr>
                <w:rFonts w:ascii="Times New Roman" w:hAnsi="Times New Roman" w:cs="Times New Roman"/>
                <w:sz w:val="24"/>
                <w:szCs w:val="24"/>
              </w:rPr>
              <w:t>Strength of Agreement</w:t>
            </w:r>
          </w:p>
        </w:tc>
      </w:tr>
      <w:tr w:rsidR="005B2648" w:rsidRPr="00134C2C" w:rsidTr="005B2648">
        <w:tc>
          <w:tcPr>
            <w:tcW w:w="1435"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Sagittal </w:t>
            </w:r>
          </w:p>
        </w:tc>
        <w:tc>
          <w:tcPr>
            <w:tcW w:w="1358"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Male</w:t>
            </w:r>
          </w:p>
        </w:tc>
        <w:tc>
          <w:tcPr>
            <w:tcW w:w="1792"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50</w:t>
            </w:r>
          </w:p>
        </w:tc>
        <w:tc>
          <w:tcPr>
            <w:tcW w:w="1530"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0.000</w:t>
            </w:r>
          </w:p>
        </w:tc>
        <w:tc>
          <w:tcPr>
            <w:tcW w:w="3235" w:type="dxa"/>
          </w:tcPr>
          <w:p w:rsidR="005B2648" w:rsidRPr="00134C2C" w:rsidRDefault="005B2648" w:rsidP="00134C2C">
            <w:pPr>
              <w:jc w:val="both"/>
              <w:rPr>
                <w:rFonts w:ascii="Times New Roman" w:hAnsi="Times New Roman" w:cs="Times New Roman"/>
                <w:sz w:val="24"/>
                <w:szCs w:val="24"/>
              </w:rPr>
            </w:pPr>
            <w:r>
              <w:rPr>
                <w:rFonts w:ascii="Times New Roman" w:hAnsi="Times New Roman" w:cs="Times New Roman"/>
                <w:sz w:val="24"/>
                <w:szCs w:val="24"/>
              </w:rPr>
              <w:t xml:space="preserve">Poor </w:t>
            </w:r>
          </w:p>
        </w:tc>
      </w:tr>
      <w:tr w:rsidR="005B2648" w:rsidRPr="00134C2C" w:rsidTr="005B2648">
        <w:tc>
          <w:tcPr>
            <w:tcW w:w="1435" w:type="dxa"/>
          </w:tcPr>
          <w:p w:rsidR="005B2648" w:rsidRPr="00134C2C" w:rsidRDefault="005B2648" w:rsidP="00134C2C">
            <w:pPr>
              <w:jc w:val="both"/>
              <w:rPr>
                <w:rFonts w:ascii="Times New Roman" w:hAnsi="Times New Roman" w:cs="Times New Roman"/>
                <w:sz w:val="24"/>
                <w:szCs w:val="24"/>
              </w:rPr>
            </w:pPr>
          </w:p>
        </w:tc>
        <w:tc>
          <w:tcPr>
            <w:tcW w:w="1358"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Female </w:t>
            </w:r>
          </w:p>
        </w:tc>
        <w:tc>
          <w:tcPr>
            <w:tcW w:w="1792"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50</w:t>
            </w:r>
          </w:p>
        </w:tc>
        <w:tc>
          <w:tcPr>
            <w:tcW w:w="1530"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0.804</w:t>
            </w:r>
          </w:p>
        </w:tc>
        <w:tc>
          <w:tcPr>
            <w:tcW w:w="3235" w:type="dxa"/>
          </w:tcPr>
          <w:p w:rsidR="005B2648" w:rsidRPr="00134C2C" w:rsidRDefault="005B2648" w:rsidP="00134C2C">
            <w:pPr>
              <w:jc w:val="both"/>
              <w:rPr>
                <w:rFonts w:ascii="Times New Roman" w:hAnsi="Times New Roman" w:cs="Times New Roman"/>
                <w:sz w:val="24"/>
                <w:szCs w:val="24"/>
              </w:rPr>
            </w:pPr>
            <w:r>
              <w:rPr>
                <w:rFonts w:ascii="Times New Roman" w:hAnsi="Times New Roman" w:cs="Times New Roman"/>
                <w:sz w:val="24"/>
                <w:szCs w:val="24"/>
              </w:rPr>
              <w:t xml:space="preserve">Good </w:t>
            </w:r>
          </w:p>
        </w:tc>
      </w:tr>
      <w:tr w:rsidR="005B2648" w:rsidRPr="00134C2C" w:rsidTr="005B2648">
        <w:tc>
          <w:tcPr>
            <w:tcW w:w="1435" w:type="dxa"/>
          </w:tcPr>
          <w:p w:rsidR="005B2648" w:rsidRPr="00134C2C" w:rsidRDefault="005B2648" w:rsidP="00134C2C">
            <w:pPr>
              <w:jc w:val="both"/>
              <w:rPr>
                <w:rFonts w:ascii="Times New Roman" w:hAnsi="Times New Roman" w:cs="Times New Roman"/>
                <w:sz w:val="24"/>
                <w:szCs w:val="24"/>
              </w:rPr>
            </w:pPr>
          </w:p>
        </w:tc>
        <w:tc>
          <w:tcPr>
            <w:tcW w:w="1358"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Total </w:t>
            </w:r>
          </w:p>
        </w:tc>
        <w:tc>
          <w:tcPr>
            <w:tcW w:w="1792"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100</w:t>
            </w:r>
          </w:p>
        </w:tc>
        <w:tc>
          <w:tcPr>
            <w:tcW w:w="1530"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0.007</w:t>
            </w:r>
          </w:p>
        </w:tc>
        <w:tc>
          <w:tcPr>
            <w:tcW w:w="3235" w:type="dxa"/>
          </w:tcPr>
          <w:p w:rsidR="005B2648" w:rsidRPr="00134C2C" w:rsidRDefault="005B2648" w:rsidP="00134C2C">
            <w:pPr>
              <w:jc w:val="both"/>
              <w:rPr>
                <w:rFonts w:ascii="Times New Roman" w:hAnsi="Times New Roman" w:cs="Times New Roman"/>
                <w:sz w:val="24"/>
                <w:szCs w:val="24"/>
              </w:rPr>
            </w:pPr>
            <w:r>
              <w:rPr>
                <w:rFonts w:ascii="Times New Roman" w:hAnsi="Times New Roman" w:cs="Times New Roman"/>
                <w:sz w:val="24"/>
                <w:szCs w:val="24"/>
              </w:rPr>
              <w:t xml:space="preserve">Poor </w:t>
            </w:r>
          </w:p>
        </w:tc>
      </w:tr>
      <w:tr w:rsidR="005B2648" w:rsidRPr="00134C2C" w:rsidTr="005B2648">
        <w:tc>
          <w:tcPr>
            <w:tcW w:w="1435"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Coronal </w:t>
            </w:r>
          </w:p>
        </w:tc>
        <w:tc>
          <w:tcPr>
            <w:tcW w:w="1358"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Male </w:t>
            </w:r>
          </w:p>
        </w:tc>
        <w:tc>
          <w:tcPr>
            <w:tcW w:w="1792"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50</w:t>
            </w:r>
          </w:p>
        </w:tc>
        <w:tc>
          <w:tcPr>
            <w:tcW w:w="1530"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0.989</w:t>
            </w:r>
          </w:p>
        </w:tc>
        <w:tc>
          <w:tcPr>
            <w:tcW w:w="3235" w:type="dxa"/>
          </w:tcPr>
          <w:p w:rsidR="005B2648" w:rsidRPr="00134C2C" w:rsidRDefault="005B2648" w:rsidP="00134C2C">
            <w:pPr>
              <w:jc w:val="both"/>
              <w:rPr>
                <w:rFonts w:ascii="Times New Roman" w:hAnsi="Times New Roman" w:cs="Times New Roman"/>
                <w:sz w:val="24"/>
                <w:szCs w:val="24"/>
              </w:rPr>
            </w:pPr>
            <w:r>
              <w:rPr>
                <w:rFonts w:ascii="Times New Roman" w:hAnsi="Times New Roman" w:cs="Times New Roman"/>
                <w:sz w:val="24"/>
                <w:szCs w:val="24"/>
              </w:rPr>
              <w:t xml:space="preserve">Very good  </w:t>
            </w:r>
          </w:p>
        </w:tc>
      </w:tr>
      <w:tr w:rsidR="005B2648" w:rsidRPr="00134C2C" w:rsidTr="005B2648">
        <w:tc>
          <w:tcPr>
            <w:tcW w:w="1435" w:type="dxa"/>
          </w:tcPr>
          <w:p w:rsidR="005B2648" w:rsidRPr="00134C2C" w:rsidRDefault="005B2648" w:rsidP="00134C2C">
            <w:pPr>
              <w:jc w:val="both"/>
              <w:rPr>
                <w:rFonts w:ascii="Times New Roman" w:hAnsi="Times New Roman" w:cs="Times New Roman"/>
                <w:sz w:val="24"/>
                <w:szCs w:val="24"/>
              </w:rPr>
            </w:pPr>
          </w:p>
        </w:tc>
        <w:tc>
          <w:tcPr>
            <w:tcW w:w="1358"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Female </w:t>
            </w:r>
          </w:p>
        </w:tc>
        <w:tc>
          <w:tcPr>
            <w:tcW w:w="1792"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50</w:t>
            </w:r>
          </w:p>
        </w:tc>
        <w:tc>
          <w:tcPr>
            <w:tcW w:w="1530"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0.025</w:t>
            </w:r>
          </w:p>
        </w:tc>
        <w:tc>
          <w:tcPr>
            <w:tcW w:w="3235" w:type="dxa"/>
          </w:tcPr>
          <w:p w:rsidR="005B2648" w:rsidRPr="00134C2C" w:rsidRDefault="005B2648" w:rsidP="00134C2C">
            <w:pPr>
              <w:jc w:val="both"/>
              <w:rPr>
                <w:rFonts w:ascii="Times New Roman" w:hAnsi="Times New Roman" w:cs="Times New Roman"/>
                <w:sz w:val="24"/>
                <w:szCs w:val="24"/>
              </w:rPr>
            </w:pPr>
            <w:r>
              <w:rPr>
                <w:rFonts w:ascii="Times New Roman" w:hAnsi="Times New Roman" w:cs="Times New Roman"/>
                <w:sz w:val="24"/>
                <w:szCs w:val="24"/>
              </w:rPr>
              <w:t xml:space="preserve">Fair </w:t>
            </w:r>
          </w:p>
        </w:tc>
      </w:tr>
      <w:tr w:rsidR="005B2648" w:rsidRPr="00134C2C" w:rsidTr="005B2648">
        <w:tc>
          <w:tcPr>
            <w:tcW w:w="1435" w:type="dxa"/>
          </w:tcPr>
          <w:p w:rsidR="005B2648" w:rsidRPr="00134C2C" w:rsidRDefault="005B2648" w:rsidP="00134C2C">
            <w:pPr>
              <w:jc w:val="both"/>
              <w:rPr>
                <w:rFonts w:ascii="Times New Roman" w:hAnsi="Times New Roman" w:cs="Times New Roman"/>
                <w:sz w:val="24"/>
                <w:szCs w:val="24"/>
              </w:rPr>
            </w:pPr>
          </w:p>
        </w:tc>
        <w:tc>
          <w:tcPr>
            <w:tcW w:w="1358"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Total </w:t>
            </w:r>
          </w:p>
        </w:tc>
        <w:tc>
          <w:tcPr>
            <w:tcW w:w="1792"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100</w:t>
            </w:r>
          </w:p>
        </w:tc>
        <w:tc>
          <w:tcPr>
            <w:tcW w:w="1530" w:type="dxa"/>
          </w:tcPr>
          <w:p w:rsidR="005B2648" w:rsidRPr="00134C2C" w:rsidRDefault="005B2648" w:rsidP="00134C2C">
            <w:pPr>
              <w:jc w:val="both"/>
              <w:rPr>
                <w:rFonts w:ascii="Times New Roman" w:hAnsi="Times New Roman" w:cs="Times New Roman"/>
                <w:sz w:val="24"/>
                <w:szCs w:val="24"/>
              </w:rPr>
            </w:pPr>
            <w:r w:rsidRPr="00134C2C">
              <w:rPr>
                <w:rFonts w:ascii="Times New Roman" w:hAnsi="Times New Roman" w:cs="Times New Roman"/>
                <w:sz w:val="24"/>
                <w:szCs w:val="24"/>
              </w:rPr>
              <w:t>0.112</w:t>
            </w:r>
          </w:p>
        </w:tc>
        <w:tc>
          <w:tcPr>
            <w:tcW w:w="3235" w:type="dxa"/>
          </w:tcPr>
          <w:p w:rsidR="005B2648" w:rsidRPr="00134C2C" w:rsidRDefault="005B2648" w:rsidP="00134C2C">
            <w:pPr>
              <w:jc w:val="both"/>
              <w:rPr>
                <w:rFonts w:ascii="Times New Roman" w:hAnsi="Times New Roman" w:cs="Times New Roman"/>
                <w:sz w:val="24"/>
                <w:szCs w:val="24"/>
              </w:rPr>
            </w:pPr>
            <w:r>
              <w:rPr>
                <w:rFonts w:ascii="Times New Roman" w:hAnsi="Times New Roman" w:cs="Times New Roman"/>
                <w:sz w:val="24"/>
                <w:szCs w:val="24"/>
              </w:rPr>
              <w:t xml:space="preserve">Poor </w:t>
            </w:r>
          </w:p>
        </w:tc>
      </w:tr>
    </w:tbl>
    <w:p w:rsidR="00645727" w:rsidRPr="00134C2C" w:rsidRDefault="00B92746" w:rsidP="00134C2C">
      <w:pPr>
        <w:jc w:val="both"/>
        <w:rPr>
          <w:rFonts w:ascii="Times New Roman" w:hAnsi="Times New Roman" w:cs="Times New Roman"/>
          <w:b/>
          <w:sz w:val="24"/>
          <w:szCs w:val="24"/>
        </w:rPr>
      </w:pPr>
      <w:r w:rsidRPr="00134C2C">
        <w:rPr>
          <w:rFonts w:ascii="Times New Roman" w:hAnsi="Times New Roman" w:cs="Times New Roman"/>
          <w:b/>
          <w:sz w:val="24"/>
          <w:szCs w:val="24"/>
        </w:rPr>
        <w:t xml:space="preserve">RECEIVER OPERATING CHARACTERISTIC CURVE </w:t>
      </w:r>
      <w:r w:rsidR="002F12C7" w:rsidRPr="00134C2C">
        <w:rPr>
          <w:rFonts w:ascii="Times New Roman" w:hAnsi="Times New Roman" w:cs="Times New Roman"/>
          <w:b/>
          <w:sz w:val="24"/>
          <w:szCs w:val="24"/>
        </w:rPr>
        <w:t>(</w:t>
      </w:r>
      <w:r w:rsidRPr="00134C2C">
        <w:rPr>
          <w:rFonts w:ascii="Times New Roman" w:hAnsi="Times New Roman" w:cs="Times New Roman"/>
          <w:b/>
          <w:sz w:val="24"/>
          <w:szCs w:val="24"/>
        </w:rPr>
        <w:t>ROC CURVE)</w:t>
      </w:r>
    </w:p>
    <w:p w:rsidR="00134C2C" w:rsidRPr="00134C2C" w:rsidRDefault="00B92746"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Discriminant analysis (ROC analysis) was used to assess the validity of linear measurements used </w:t>
      </w:r>
      <w:r w:rsidR="00EA2998" w:rsidRPr="00134C2C">
        <w:rPr>
          <w:rFonts w:ascii="Times New Roman" w:hAnsi="Times New Roman" w:cs="Times New Roman"/>
          <w:sz w:val="24"/>
          <w:szCs w:val="24"/>
        </w:rPr>
        <w:t>in this study. The ROC curve gives us a typical cut-off for differentiating male from female by</w:t>
      </w:r>
      <w:r w:rsidR="005672F1">
        <w:rPr>
          <w:rFonts w:ascii="Times New Roman" w:hAnsi="Times New Roman" w:cs="Times New Roman"/>
          <w:sz w:val="24"/>
          <w:szCs w:val="24"/>
        </w:rPr>
        <w:t xml:space="preserve"> </w:t>
      </w:r>
      <w:r w:rsidR="00EA2998" w:rsidRPr="00134C2C">
        <w:rPr>
          <w:rFonts w:ascii="Times New Roman" w:hAnsi="Times New Roman" w:cs="Times New Roman"/>
          <w:sz w:val="24"/>
          <w:szCs w:val="24"/>
        </w:rPr>
        <w:lastRenderedPageBreak/>
        <w:t>giving a typical cutoff values would be 100% specific to establish the diagnosis of gender</w:t>
      </w:r>
      <w:r w:rsidR="00134C2C" w:rsidRPr="00134C2C">
        <w:rPr>
          <w:rFonts w:ascii="Times New Roman" w:hAnsi="Times New Roman" w:cs="Times New Roman"/>
          <w:noProof/>
          <w:sz w:val="24"/>
          <w:szCs w:val="24"/>
        </w:rPr>
        <w:drawing>
          <wp:inline distT="0" distB="0" distL="0" distR="0" wp14:anchorId="5DCA9575" wp14:editId="5E32D95A">
            <wp:extent cx="3971925" cy="2619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71925" cy="2619375"/>
                    </a:xfrm>
                    <a:prstGeom prst="rect">
                      <a:avLst/>
                    </a:prstGeom>
                  </pic:spPr>
                </pic:pic>
              </a:graphicData>
            </a:graphic>
          </wp:inline>
        </w:drawing>
      </w:r>
    </w:p>
    <w:p w:rsidR="00134C2C" w:rsidRPr="00134C2C" w:rsidRDefault="00134C2C" w:rsidP="00134C2C">
      <w:pPr>
        <w:jc w:val="both"/>
        <w:rPr>
          <w:rFonts w:ascii="Times New Roman" w:hAnsi="Times New Roman" w:cs="Times New Roman"/>
          <w:sz w:val="24"/>
          <w:szCs w:val="24"/>
        </w:rPr>
      </w:pPr>
    </w:p>
    <w:p w:rsidR="00B92746" w:rsidRDefault="002F12C7" w:rsidP="00134C2C">
      <w:pPr>
        <w:jc w:val="both"/>
        <w:rPr>
          <w:rFonts w:ascii="Times New Roman" w:hAnsi="Times New Roman" w:cs="Times New Roman"/>
          <w:sz w:val="24"/>
          <w:szCs w:val="24"/>
        </w:rPr>
      </w:pPr>
      <w:r w:rsidRPr="00134C2C">
        <w:rPr>
          <w:rFonts w:ascii="Times New Roman" w:hAnsi="Times New Roman" w:cs="Times New Roman"/>
          <w:sz w:val="24"/>
          <w:szCs w:val="24"/>
        </w:rPr>
        <w:t>VALIDITY PARAMETERS TO PREDICT MALE AND FEMALE GENDERS USING ROC ANALYSIS</w:t>
      </w:r>
    </w:p>
    <w:p w:rsidR="005B2648" w:rsidRPr="00134C2C" w:rsidRDefault="005B2648" w:rsidP="005B2648">
      <w:pPr>
        <w:jc w:val="both"/>
        <w:rPr>
          <w:rFonts w:ascii="Times New Roman" w:hAnsi="Times New Roman" w:cs="Times New Roman"/>
          <w:sz w:val="24"/>
          <w:szCs w:val="24"/>
        </w:rPr>
      </w:pPr>
      <w:r>
        <w:rPr>
          <w:rFonts w:ascii="Times New Roman" w:hAnsi="Times New Roman" w:cs="Times New Roman"/>
          <w:sz w:val="24"/>
          <w:szCs w:val="24"/>
        </w:rPr>
        <w:t xml:space="preserve">                </w:t>
      </w:r>
      <w:r w:rsidRPr="00134C2C">
        <w:rPr>
          <w:rFonts w:ascii="Times New Roman" w:hAnsi="Times New Roman" w:cs="Times New Roman"/>
          <w:sz w:val="24"/>
          <w:szCs w:val="24"/>
        </w:rPr>
        <w:t>The typical cut-off value could predict the gender type with great accuracy, testing positive when it would predict gender with a value of high specificity and less sensitivity, testing negative when values would exclude gender with less specificity and high sensitivity.</w:t>
      </w:r>
    </w:p>
    <w:p w:rsidR="005B2648" w:rsidRPr="00134C2C" w:rsidRDefault="005B2648" w:rsidP="00134C2C">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70"/>
        <w:gridCol w:w="1281"/>
        <w:gridCol w:w="1190"/>
        <w:gridCol w:w="1312"/>
        <w:gridCol w:w="1171"/>
        <w:gridCol w:w="941"/>
      </w:tblGrid>
      <w:tr w:rsidR="00B309DD" w:rsidRPr="00134C2C" w:rsidTr="00B309DD">
        <w:tc>
          <w:tcPr>
            <w:tcW w:w="1670"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PARAMETER</w:t>
            </w:r>
          </w:p>
        </w:tc>
        <w:tc>
          <w:tcPr>
            <w:tcW w:w="1281"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GENDER</w:t>
            </w:r>
          </w:p>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(male)</w:t>
            </w:r>
          </w:p>
        </w:tc>
        <w:tc>
          <w:tcPr>
            <w:tcW w:w="1190"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GENDER</w:t>
            </w:r>
          </w:p>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(Female)</w:t>
            </w:r>
          </w:p>
        </w:tc>
        <w:tc>
          <w:tcPr>
            <w:tcW w:w="1312"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TYPICAL CUT-OFF</w:t>
            </w:r>
          </w:p>
        </w:tc>
        <w:tc>
          <w:tcPr>
            <w:tcW w:w="1171"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AREA UNDER THE CURVE (AUC) </w:t>
            </w:r>
          </w:p>
        </w:tc>
        <w:tc>
          <w:tcPr>
            <w:tcW w:w="941"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P value</w:t>
            </w:r>
          </w:p>
        </w:tc>
      </w:tr>
      <w:tr w:rsidR="00B309DD" w:rsidRPr="00134C2C" w:rsidTr="00B309DD">
        <w:tc>
          <w:tcPr>
            <w:tcW w:w="1670"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GPF to MMS (Right canal)</w:t>
            </w:r>
          </w:p>
        </w:tc>
        <w:tc>
          <w:tcPr>
            <w:tcW w:w="1281"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20.80 mm</w:t>
            </w:r>
          </w:p>
        </w:tc>
        <w:tc>
          <w:tcPr>
            <w:tcW w:w="1190"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18.55 mm</w:t>
            </w:r>
          </w:p>
        </w:tc>
        <w:tc>
          <w:tcPr>
            <w:tcW w:w="1312" w:type="dxa"/>
          </w:tcPr>
          <w:p w:rsidR="00B309DD" w:rsidRPr="00134C2C" w:rsidRDefault="00EA2998" w:rsidP="00134C2C">
            <w:pPr>
              <w:jc w:val="both"/>
              <w:rPr>
                <w:rFonts w:ascii="Times New Roman" w:hAnsi="Times New Roman" w:cs="Times New Roman"/>
                <w:sz w:val="24"/>
                <w:szCs w:val="24"/>
              </w:rPr>
            </w:pPr>
            <w:r w:rsidRPr="00134C2C">
              <w:rPr>
                <w:rFonts w:ascii="Times New Roman" w:hAnsi="Times New Roman" w:cs="Times New Roman"/>
                <w:sz w:val="24"/>
                <w:szCs w:val="24"/>
              </w:rPr>
              <w:t>19</w:t>
            </w:r>
            <w:r w:rsidR="00B309DD" w:rsidRPr="00134C2C">
              <w:rPr>
                <w:rFonts w:ascii="Times New Roman" w:hAnsi="Times New Roman" w:cs="Times New Roman"/>
                <w:sz w:val="24"/>
                <w:szCs w:val="24"/>
              </w:rPr>
              <w:t>.40 mm</w:t>
            </w:r>
          </w:p>
        </w:tc>
        <w:tc>
          <w:tcPr>
            <w:tcW w:w="1171"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0.495</w:t>
            </w:r>
          </w:p>
        </w:tc>
        <w:tc>
          <w:tcPr>
            <w:tcW w:w="941"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0.929</w:t>
            </w:r>
          </w:p>
        </w:tc>
      </w:tr>
      <w:tr w:rsidR="00B309DD" w:rsidRPr="00134C2C" w:rsidTr="00B309DD">
        <w:tc>
          <w:tcPr>
            <w:tcW w:w="1670"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GPF to MMS (Left canal)</w:t>
            </w:r>
          </w:p>
        </w:tc>
        <w:tc>
          <w:tcPr>
            <w:tcW w:w="1281"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19.30 mm</w:t>
            </w:r>
          </w:p>
        </w:tc>
        <w:tc>
          <w:tcPr>
            <w:tcW w:w="1190"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18.30 mm</w:t>
            </w:r>
          </w:p>
        </w:tc>
        <w:tc>
          <w:tcPr>
            <w:tcW w:w="1312" w:type="dxa"/>
          </w:tcPr>
          <w:p w:rsidR="00B309DD" w:rsidRPr="00134C2C" w:rsidRDefault="00EA2998" w:rsidP="00134C2C">
            <w:pPr>
              <w:jc w:val="both"/>
              <w:rPr>
                <w:rFonts w:ascii="Times New Roman" w:hAnsi="Times New Roman" w:cs="Times New Roman"/>
                <w:sz w:val="24"/>
                <w:szCs w:val="24"/>
              </w:rPr>
            </w:pPr>
            <w:r w:rsidRPr="00134C2C">
              <w:rPr>
                <w:rFonts w:ascii="Times New Roman" w:hAnsi="Times New Roman" w:cs="Times New Roman"/>
                <w:sz w:val="24"/>
                <w:szCs w:val="24"/>
              </w:rPr>
              <w:t>17</w:t>
            </w:r>
            <w:r w:rsidR="00B309DD" w:rsidRPr="00134C2C">
              <w:rPr>
                <w:rFonts w:ascii="Times New Roman" w:hAnsi="Times New Roman" w:cs="Times New Roman"/>
                <w:sz w:val="24"/>
                <w:szCs w:val="24"/>
              </w:rPr>
              <w:t>.60 mm</w:t>
            </w:r>
          </w:p>
        </w:tc>
        <w:tc>
          <w:tcPr>
            <w:tcW w:w="1171"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0.512</w:t>
            </w:r>
          </w:p>
        </w:tc>
        <w:tc>
          <w:tcPr>
            <w:tcW w:w="941"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0.833</w:t>
            </w:r>
          </w:p>
        </w:tc>
      </w:tr>
      <w:tr w:rsidR="00B309DD" w:rsidRPr="00134C2C" w:rsidTr="00B309DD">
        <w:tc>
          <w:tcPr>
            <w:tcW w:w="1670"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GPF to AR(Right canal)</w:t>
            </w:r>
          </w:p>
        </w:tc>
        <w:tc>
          <w:tcPr>
            <w:tcW w:w="1281"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31.10 mm</w:t>
            </w:r>
          </w:p>
        </w:tc>
        <w:tc>
          <w:tcPr>
            <w:tcW w:w="1190"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27.65 mm</w:t>
            </w:r>
          </w:p>
        </w:tc>
        <w:tc>
          <w:tcPr>
            <w:tcW w:w="1312"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28.70 mm</w:t>
            </w:r>
          </w:p>
        </w:tc>
        <w:tc>
          <w:tcPr>
            <w:tcW w:w="1171"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0.578</w:t>
            </w:r>
          </w:p>
        </w:tc>
        <w:tc>
          <w:tcPr>
            <w:tcW w:w="941"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0.181</w:t>
            </w:r>
          </w:p>
        </w:tc>
      </w:tr>
      <w:tr w:rsidR="00B309DD" w:rsidRPr="00134C2C" w:rsidTr="00B309DD">
        <w:tc>
          <w:tcPr>
            <w:tcW w:w="1670"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GPF to AR(Left canal)</w:t>
            </w:r>
          </w:p>
        </w:tc>
        <w:tc>
          <w:tcPr>
            <w:tcW w:w="1281" w:type="dxa"/>
          </w:tcPr>
          <w:p w:rsidR="00B309DD" w:rsidRPr="00134C2C" w:rsidRDefault="00EA2998" w:rsidP="00134C2C">
            <w:pPr>
              <w:jc w:val="both"/>
              <w:rPr>
                <w:rFonts w:ascii="Times New Roman" w:hAnsi="Times New Roman" w:cs="Times New Roman"/>
                <w:sz w:val="24"/>
                <w:szCs w:val="24"/>
              </w:rPr>
            </w:pPr>
            <w:r w:rsidRPr="00134C2C">
              <w:rPr>
                <w:rFonts w:ascii="Times New Roman" w:hAnsi="Times New Roman" w:cs="Times New Roman"/>
                <w:sz w:val="24"/>
                <w:szCs w:val="24"/>
              </w:rPr>
              <w:t>29.85 mm</w:t>
            </w:r>
          </w:p>
        </w:tc>
        <w:tc>
          <w:tcPr>
            <w:tcW w:w="1190" w:type="dxa"/>
          </w:tcPr>
          <w:p w:rsidR="00B309DD" w:rsidRPr="00134C2C" w:rsidRDefault="00EA2998" w:rsidP="00134C2C">
            <w:pPr>
              <w:jc w:val="both"/>
              <w:rPr>
                <w:rFonts w:ascii="Times New Roman" w:hAnsi="Times New Roman" w:cs="Times New Roman"/>
                <w:sz w:val="24"/>
                <w:szCs w:val="24"/>
              </w:rPr>
            </w:pPr>
            <w:r w:rsidRPr="00134C2C">
              <w:rPr>
                <w:rFonts w:ascii="Times New Roman" w:hAnsi="Times New Roman" w:cs="Times New Roman"/>
                <w:sz w:val="24"/>
                <w:szCs w:val="24"/>
              </w:rPr>
              <w:t>27.10 mm</w:t>
            </w:r>
          </w:p>
        </w:tc>
        <w:tc>
          <w:tcPr>
            <w:tcW w:w="1312" w:type="dxa"/>
          </w:tcPr>
          <w:p w:rsidR="00B309DD" w:rsidRPr="00134C2C" w:rsidRDefault="00EA2998" w:rsidP="00134C2C">
            <w:pPr>
              <w:jc w:val="both"/>
              <w:rPr>
                <w:rFonts w:ascii="Times New Roman" w:hAnsi="Times New Roman" w:cs="Times New Roman"/>
                <w:sz w:val="24"/>
                <w:szCs w:val="24"/>
              </w:rPr>
            </w:pPr>
            <w:r w:rsidRPr="00134C2C">
              <w:rPr>
                <w:rFonts w:ascii="Times New Roman" w:hAnsi="Times New Roman" w:cs="Times New Roman"/>
                <w:sz w:val="24"/>
                <w:szCs w:val="24"/>
              </w:rPr>
              <w:t>28.10 mm</w:t>
            </w:r>
          </w:p>
        </w:tc>
        <w:tc>
          <w:tcPr>
            <w:tcW w:w="1171"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0.632</w:t>
            </w:r>
          </w:p>
        </w:tc>
        <w:tc>
          <w:tcPr>
            <w:tcW w:w="941" w:type="dxa"/>
          </w:tcPr>
          <w:p w:rsidR="00B309DD" w:rsidRPr="00134C2C" w:rsidRDefault="00B309DD" w:rsidP="00134C2C">
            <w:pPr>
              <w:jc w:val="both"/>
              <w:rPr>
                <w:rFonts w:ascii="Times New Roman" w:hAnsi="Times New Roman" w:cs="Times New Roman"/>
                <w:sz w:val="24"/>
                <w:szCs w:val="24"/>
              </w:rPr>
            </w:pPr>
            <w:r w:rsidRPr="00134C2C">
              <w:rPr>
                <w:rFonts w:ascii="Times New Roman" w:hAnsi="Times New Roman" w:cs="Times New Roman"/>
                <w:sz w:val="24"/>
                <w:szCs w:val="24"/>
              </w:rPr>
              <w:t>0.023</w:t>
            </w:r>
          </w:p>
        </w:tc>
      </w:tr>
    </w:tbl>
    <w:p w:rsidR="002F12C7" w:rsidRPr="00134C2C" w:rsidRDefault="002F12C7" w:rsidP="00134C2C">
      <w:pPr>
        <w:jc w:val="both"/>
        <w:rPr>
          <w:rFonts w:ascii="Times New Roman" w:hAnsi="Times New Roman" w:cs="Times New Roman"/>
          <w:sz w:val="24"/>
          <w:szCs w:val="24"/>
        </w:rPr>
      </w:pPr>
    </w:p>
    <w:p w:rsidR="00BE78F9" w:rsidRPr="00134C2C" w:rsidRDefault="00645727" w:rsidP="00134C2C">
      <w:pPr>
        <w:jc w:val="both"/>
        <w:rPr>
          <w:rFonts w:ascii="Times New Roman" w:hAnsi="Times New Roman" w:cs="Times New Roman"/>
          <w:b/>
          <w:sz w:val="24"/>
          <w:szCs w:val="24"/>
        </w:rPr>
      </w:pPr>
      <w:r w:rsidRPr="00134C2C">
        <w:rPr>
          <w:rFonts w:ascii="Times New Roman" w:hAnsi="Times New Roman" w:cs="Times New Roman"/>
          <w:b/>
          <w:sz w:val="24"/>
          <w:szCs w:val="24"/>
        </w:rPr>
        <w:t>DISCUSSION</w:t>
      </w:r>
    </w:p>
    <w:p w:rsidR="00645727" w:rsidRPr="00134C2C" w:rsidRDefault="00B1334E" w:rsidP="00134C2C">
      <w:pPr>
        <w:jc w:val="both"/>
        <w:rPr>
          <w:rFonts w:ascii="Times New Roman" w:hAnsi="Times New Roman" w:cs="Times New Roman"/>
          <w:sz w:val="24"/>
          <w:szCs w:val="24"/>
        </w:rPr>
      </w:pPr>
      <w:r>
        <w:rPr>
          <w:rFonts w:ascii="Times New Roman" w:hAnsi="Times New Roman" w:cs="Times New Roman"/>
          <w:sz w:val="24"/>
          <w:szCs w:val="24"/>
        </w:rPr>
        <w:t xml:space="preserve">                     </w:t>
      </w:r>
      <w:r w:rsidR="00645727" w:rsidRPr="00134C2C">
        <w:rPr>
          <w:rFonts w:ascii="Times New Roman" w:hAnsi="Times New Roman" w:cs="Times New Roman"/>
          <w:sz w:val="24"/>
          <w:szCs w:val="24"/>
        </w:rPr>
        <w:t xml:space="preserve">Since the GPC technique is associated with several complications, this study was performed to determine </w:t>
      </w:r>
      <w:r w:rsidR="00024765" w:rsidRPr="00134C2C">
        <w:rPr>
          <w:rFonts w:ascii="Times New Roman" w:hAnsi="Times New Roman" w:cs="Times New Roman"/>
          <w:sz w:val="24"/>
          <w:szCs w:val="24"/>
        </w:rPr>
        <w:t>the mean dimensions</w:t>
      </w:r>
      <w:r w:rsidR="00645727" w:rsidRPr="00134C2C">
        <w:rPr>
          <w:rFonts w:ascii="Times New Roman" w:hAnsi="Times New Roman" w:cs="Times New Roman"/>
          <w:sz w:val="24"/>
          <w:szCs w:val="24"/>
        </w:rPr>
        <w:t xml:space="preserve"> of the GPC</w:t>
      </w:r>
      <w:r w:rsidR="00024765" w:rsidRPr="00134C2C">
        <w:rPr>
          <w:rFonts w:ascii="Times New Roman" w:hAnsi="Times New Roman" w:cs="Times New Roman"/>
          <w:sz w:val="24"/>
          <w:szCs w:val="24"/>
        </w:rPr>
        <w:t>, its foramina</w:t>
      </w:r>
      <w:r w:rsidR="00645727" w:rsidRPr="00134C2C">
        <w:rPr>
          <w:rFonts w:ascii="Times New Roman" w:hAnsi="Times New Roman" w:cs="Times New Roman"/>
          <w:sz w:val="24"/>
          <w:szCs w:val="24"/>
        </w:rPr>
        <w:t xml:space="preserve"> and the geometric pattern </w:t>
      </w:r>
      <w:r w:rsidR="00645727" w:rsidRPr="00134C2C">
        <w:rPr>
          <w:rFonts w:ascii="Times New Roman" w:hAnsi="Times New Roman" w:cs="Times New Roman"/>
          <w:sz w:val="24"/>
          <w:szCs w:val="24"/>
        </w:rPr>
        <w:lastRenderedPageBreak/>
        <w:t xml:space="preserve">of this structure, as well as to identify a reliable clinical index that can </w:t>
      </w:r>
      <w:r w:rsidR="00024765" w:rsidRPr="00134C2C">
        <w:rPr>
          <w:rFonts w:ascii="Times New Roman" w:hAnsi="Times New Roman" w:cs="Times New Roman"/>
          <w:sz w:val="24"/>
          <w:szCs w:val="24"/>
        </w:rPr>
        <w:t xml:space="preserve">be used to estimate the mean values </w:t>
      </w:r>
      <w:r w:rsidR="00645727" w:rsidRPr="00134C2C">
        <w:rPr>
          <w:rFonts w:ascii="Times New Roman" w:hAnsi="Times New Roman" w:cs="Times New Roman"/>
          <w:sz w:val="24"/>
          <w:szCs w:val="24"/>
        </w:rPr>
        <w:t>for each sex using CBCT data.</w:t>
      </w:r>
      <w:r w:rsidR="008228D2" w:rsidRPr="00134C2C">
        <w:rPr>
          <w:rFonts w:ascii="Times New Roman" w:hAnsi="Times New Roman" w:cs="Times New Roman"/>
          <w:sz w:val="24"/>
          <w:szCs w:val="24"/>
          <w:vertAlign w:val="superscript"/>
        </w:rPr>
        <w:t>1</w:t>
      </w:r>
    </w:p>
    <w:p w:rsidR="005656A4" w:rsidRPr="00134C2C" w:rsidRDefault="00B1334E" w:rsidP="00134C2C">
      <w:pPr>
        <w:jc w:val="both"/>
        <w:rPr>
          <w:rFonts w:ascii="Times New Roman" w:hAnsi="Times New Roman" w:cs="Times New Roman"/>
          <w:sz w:val="24"/>
          <w:szCs w:val="24"/>
        </w:rPr>
      </w:pPr>
      <w:r>
        <w:rPr>
          <w:rFonts w:ascii="Times New Roman" w:hAnsi="Times New Roman" w:cs="Times New Roman"/>
          <w:sz w:val="24"/>
          <w:szCs w:val="24"/>
        </w:rPr>
        <w:t xml:space="preserve">                    </w:t>
      </w:r>
      <w:r w:rsidR="005656A4" w:rsidRPr="00134C2C">
        <w:rPr>
          <w:rFonts w:ascii="Times New Roman" w:hAnsi="Times New Roman" w:cs="Times New Roman"/>
          <w:sz w:val="24"/>
          <w:szCs w:val="24"/>
        </w:rPr>
        <w:t xml:space="preserve">From our study using a subset </w:t>
      </w:r>
      <w:r w:rsidR="008228D2" w:rsidRPr="00134C2C">
        <w:rPr>
          <w:rFonts w:ascii="Times New Roman" w:hAnsi="Times New Roman" w:cs="Times New Roman"/>
          <w:sz w:val="24"/>
          <w:szCs w:val="24"/>
        </w:rPr>
        <w:t>of South-I</w:t>
      </w:r>
      <w:r w:rsidR="005656A4" w:rsidRPr="00134C2C">
        <w:rPr>
          <w:rFonts w:ascii="Times New Roman" w:hAnsi="Times New Roman" w:cs="Times New Roman"/>
          <w:sz w:val="24"/>
          <w:szCs w:val="24"/>
        </w:rPr>
        <w:t>ndia</w:t>
      </w:r>
      <w:r w:rsidR="005672F1">
        <w:rPr>
          <w:rFonts w:ascii="Times New Roman" w:hAnsi="Times New Roman" w:cs="Times New Roman"/>
          <w:sz w:val="24"/>
          <w:szCs w:val="24"/>
        </w:rPr>
        <w:t>n population, we were able to</w:t>
      </w:r>
      <w:r w:rsidR="005656A4" w:rsidRPr="00134C2C">
        <w:rPr>
          <w:rFonts w:ascii="Times New Roman" w:hAnsi="Times New Roman" w:cs="Times New Roman"/>
          <w:sz w:val="24"/>
          <w:szCs w:val="24"/>
        </w:rPr>
        <w:t xml:space="preserve"> assess the location of the GPF in relation to the face of each upper erupted molar. The GPF was found to be located in the palatal side of second molar in the 59/100 of the cases studied; most of them (34/100) were in position B and 25/100 in position C. In our study, 16/100 of the GPF were medial to the second molar and 7/100 were distal to the third molar. In previous studies using Nigerian and Indian dry skulls</w:t>
      </w:r>
      <w:r w:rsidR="008228D2" w:rsidRPr="00134C2C">
        <w:rPr>
          <w:rFonts w:ascii="Times New Roman" w:hAnsi="Times New Roman" w:cs="Times New Roman"/>
          <w:sz w:val="24"/>
          <w:szCs w:val="24"/>
        </w:rPr>
        <w:t xml:space="preserve"> </w:t>
      </w:r>
      <w:r w:rsidR="008228D2" w:rsidRPr="00134C2C">
        <w:rPr>
          <w:rFonts w:ascii="Times New Roman" w:hAnsi="Times New Roman" w:cs="Times New Roman"/>
          <w:sz w:val="24"/>
          <w:szCs w:val="24"/>
          <w:vertAlign w:val="superscript"/>
        </w:rPr>
        <w:t>[6, 7</w:t>
      </w:r>
      <w:r w:rsidR="005656A4" w:rsidRPr="00134C2C">
        <w:rPr>
          <w:rFonts w:ascii="Times New Roman" w:hAnsi="Times New Roman" w:cs="Times New Roman"/>
          <w:sz w:val="24"/>
          <w:szCs w:val="24"/>
          <w:vertAlign w:val="superscript"/>
        </w:rPr>
        <w:t>]</w:t>
      </w:r>
      <w:r w:rsidR="005656A4" w:rsidRPr="00134C2C">
        <w:rPr>
          <w:rFonts w:ascii="Times New Roman" w:hAnsi="Times New Roman" w:cs="Times New Roman"/>
          <w:sz w:val="24"/>
          <w:szCs w:val="24"/>
        </w:rPr>
        <w:t xml:space="preserve"> it was found that GPF was medial to the third molar in 48 and 64 % of the cases, respectively. Also, 16% GPFs were found to be medial to the second molar in our study, compared to 13.3 % in the </w:t>
      </w:r>
      <w:r w:rsidR="008228D2" w:rsidRPr="00134C2C">
        <w:rPr>
          <w:rFonts w:ascii="Times New Roman" w:hAnsi="Times New Roman" w:cs="Times New Roman"/>
          <w:sz w:val="24"/>
          <w:szCs w:val="24"/>
        </w:rPr>
        <w:t>Nigerian study .</w:t>
      </w:r>
      <w:r w:rsidR="008228D2" w:rsidRPr="00134C2C">
        <w:rPr>
          <w:rFonts w:ascii="Times New Roman" w:hAnsi="Times New Roman" w:cs="Times New Roman"/>
          <w:sz w:val="24"/>
          <w:szCs w:val="24"/>
          <w:vertAlign w:val="superscript"/>
        </w:rPr>
        <w:t>6</w:t>
      </w:r>
      <w:r w:rsidR="005656A4" w:rsidRPr="00134C2C">
        <w:rPr>
          <w:rFonts w:ascii="Times New Roman" w:hAnsi="Times New Roman" w:cs="Times New Roman"/>
          <w:sz w:val="24"/>
          <w:szCs w:val="24"/>
        </w:rPr>
        <w:t xml:space="preserve"> In a study using dry skulls, it was found that 5.6 % were opposite to the second molar, 23.1 % between the second to third molars and 64.4 % opposite to the third </w:t>
      </w:r>
      <w:r w:rsidR="008228D2" w:rsidRPr="00134C2C">
        <w:rPr>
          <w:rFonts w:ascii="Times New Roman" w:hAnsi="Times New Roman" w:cs="Times New Roman"/>
          <w:sz w:val="24"/>
          <w:szCs w:val="24"/>
        </w:rPr>
        <w:t>molar.</w:t>
      </w:r>
      <w:r w:rsidR="008228D2" w:rsidRPr="00134C2C">
        <w:rPr>
          <w:rFonts w:ascii="Times New Roman" w:hAnsi="Times New Roman" w:cs="Times New Roman"/>
          <w:sz w:val="24"/>
          <w:szCs w:val="24"/>
          <w:vertAlign w:val="superscript"/>
        </w:rPr>
        <w:t>8</w:t>
      </w:r>
      <w:r w:rsidR="005656A4" w:rsidRPr="00134C2C">
        <w:rPr>
          <w:rFonts w:ascii="Times New Roman" w:hAnsi="Times New Roman" w:cs="Times New Roman"/>
          <w:sz w:val="24"/>
          <w:szCs w:val="24"/>
        </w:rPr>
        <w:t xml:space="preserve"> The percentage of GPFs found distal to the third molar in our study (7 %) is comparable to those mentioned in other</w:t>
      </w:r>
      <w:r w:rsidR="001F1D3E" w:rsidRPr="00134C2C">
        <w:rPr>
          <w:rFonts w:ascii="Times New Roman" w:hAnsi="Times New Roman" w:cs="Times New Roman"/>
          <w:sz w:val="24"/>
          <w:szCs w:val="24"/>
        </w:rPr>
        <w:t xml:space="preserve"> studies 6.9 %</w:t>
      </w:r>
      <w:r w:rsidR="001F1D3E" w:rsidRPr="00134C2C">
        <w:rPr>
          <w:rFonts w:ascii="Times New Roman" w:hAnsi="Times New Roman" w:cs="Times New Roman"/>
          <w:sz w:val="24"/>
          <w:szCs w:val="24"/>
          <w:vertAlign w:val="superscript"/>
        </w:rPr>
        <w:t>8</w:t>
      </w:r>
      <w:r w:rsidR="005656A4" w:rsidRPr="00134C2C">
        <w:rPr>
          <w:rFonts w:ascii="Times New Roman" w:hAnsi="Times New Roman" w:cs="Times New Roman"/>
          <w:sz w:val="24"/>
          <w:szCs w:val="24"/>
          <w:vertAlign w:val="superscript"/>
        </w:rPr>
        <w:t xml:space="preserve"> </w:t>
      </w:r>
      <w:r w:rsidR="001F1D3E" w:rsidRPr="00134C2C">
        <w:rPr>
          <w:rFonts w:ascii="Times New Roman" w:hAnsi="Times New Roman" w:cs="Times New Roman"/>
          <w:sz w:val="24"/>
          <w:szCs w:val="24"/>
        </w:rPr>
        <w:t xml:space="preserve">and 2.9 % </w:t>
      </w:r>
      <w:r w:rsidR="001F1D3E" w:rsidRPr="00134C2C">
        <w:rPr>
          <w:rFonts w:ascii="Times New Roman" w:hAnsi="Times New Roman" w:cs="Times New Roman"/>
          <w:sz w:val="24"/>
          <w:szCs w:val="24"/>
          <w:vertAlign w:val="superscript"/>
        </w:rPr>
        <w:t>6</w:t>
      </w:r>
      <w:r w:rsidR="005672F1">
        <w:rPr>
          <w:rFonts w:ascii="Times New Roman" w:hAnsi="Times New Roman" w:cs="Times New Roman"/>
          <w:sz w:val="24"/>
          <w:szCs w:val="24"/>
        </w:rPr>
        <w:t xml:space="preserve">   .</w:t>
      </w:r>
      <w:r w:rsidR="005656A4" w:rsidRPr="00134C2C">
        <w:rPr>
          <w:rFonts w:ascii="Times New Roman" w:hAnsi="Times New Roman" w:cs="Times New Roman"/>
          <w:sz w:val="24"/>
          <w:szCs w:val="24"/>
        </w:rPr>
        <w:t>The average diameter of the GPF was found to be 1.98 mm, which was c</w:t>
      </w:r>
      <w:r w:rsidR="001F1D3E" w:rsidRPr="00134C2C">
        <w:rPr>
          <w:rFonts w:ascii="Times New Roman" w:hAnsi="Times New Roman" w:cs="Times New Roman"/>
          <w:sz w:val="24"/>
          <w:szCs w:val="24"/>
        </w:rPr>
        <w:t xml:space="preserve">omparable to previous studies </w:t>
      </w:r>
      <w:r w:rsidR="001F1D3E" w:rsidRPr="00134C2C">
        <w:rPr>
          <w:rFonts w:ascii="Times New Roman" w:hAnsi="Times New Roman" w:cs="Times New Roman"/>
          <w:sz w:val="24"/>
          <w:szCs w:val="24"/>
          <w:vertAlign w:val="superscript"/>
        </w:rPr>
        <w:t>[11, 12</w:t>
      </w:r>
      <w:r w:rsidR="005656A4" w:rsidRPr="00134C2C">
        <w:rPr>
          <w:rFonts w:ascii="Times New Roman" w:hAnsi="Times New Roman" w:cs="Times New Roman"/>
          <w:sz w:val="24"/>
          <w:szCs w:val="24"/>
          <w:vertAlign w:val="superscript"/>
        </w:rPr>
        <w:t>]</w:t>
      </w:r>
    </w:p>
    <w:p w:rsidR="0096104F" w:rsidRPr="00134C2C" w:rsidRDefault="005656A4"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Previous studies have showed the distances from the GPF to the MMS in Nigerian, Thai and Brazilian dry skulls to be 15.4, 14.7, and 14.68 mm, </w:t>
      </w:r>
      <w:r w:rsidR="001F1D3E" w:rsidRPr="00134C2C">
        <w:rPr>
          <w:rFonts w:ascii="Times New Roman" w:hAnsi="Times New Roman" w:cs="Times New Roman"/>
          <w:sz w:val="24"/>
          <w:szCs w:val="24"/>
        </w:rPr>
        <w:t>respectively</w:t>
      </w:r>
      <w:r w:rsidR="001F1D3E" w:rsidRPr="00134C2C">
        <w:rPr>
          <w:rFonts w:ascii="Times New Roman" w:hAnsi="Times New Roman" w:cs="Times New Roman"/>
          <w:sz w:val="24"/>
          <w:szCs w:val="24"/>
          <w:vertAlign w:val="superscript"/>
        </w:rPr>
        <w:t>[6, 9, 7</w:t>
      </w:r>
      <w:r w:rsidRPr="00134C2C">
        <w:rPr>
          <w:rFonts w:ascii="Times New Roman" w:hAnsi="Times New Roman" w:cs="Times New Roman"/>
          <w:sz w:val="24"/>
          <w:szCs w:val="24"/>
          <w:vertAlign w:val="superscript"/>
        </w:rPr>
        <w:t>]</w:t>
      </w:r>
      <w:r w:rsidRPr="00134C2C">
        <w:rPr>
          <w:rFonts w:ascii="Times New Roman" w:hAnsi="Times New Roman" w:cs="Times New Roman"/>
          <w:sz w:val="24"/>
          <w:szCs w:val="24"/>
        </w:rPr>
        <w:t xml:space="preserve">. These values are </w:t>
      </w:r>
      <w:r w:rsidR="0096104F" w:rsidRPr="00134C2C">
        <w:rPr>
          <w:rFonts w:ascii="Times New Roman" w:hAnsi="Times New Roman" w:cs="Times New Roman"/>
          <w:sz w:val="24"/>
          <w:szCs w:val="24"/>
        </w:rPr>
        <w:t xml:space="preserve">higher in </w:t>
      </w:r>
      <w:r w:rsidR="004E245F" w:rsidRPr="00134C2C">
        <w:rPr>
          <w:rFonts w:ascii="Times New Roman" w:hAnsi="Times New Roman" w:cs="Times New Roman"/>
          <w:sz w:val="24"/>
          <w:szCs w:val="24"/>
        </w:rPr>
        <w:t>S</w:t>
      </w:r>
      <w:r w:rsidR="0096104F" w:rsidRPr="00134C2C">
        <w:rPr>
          <w:rFonts w:ascii="Times New Roman" w:hAnsi="Times New Roman" w:cs="Times New Roman"/>
          <w:sz w:val="24"/>
          <w:szCs w:val="24"/>
        </w:rPr>
        <w:t xml:space="preserve">outh-Indian population </w:t>
      </w:r>
      <w:r w:rsidRPr="00134C2C">
        <w:rPr>
          <w:rFonts w:ascii="Times New Roman" w:hAnsi="Times New Roman" w:cs="Times New Roman"/>
          <w:sz w:val="24"/>
          <w:szCs w:val="24"/>
        </w:rPr>
        <w:t>(19.89 mm)</w:t>
      </w:r>
      <w:r w:rsidR="004E245F" w:rsidRPr="00134C2C">
        <w:rPr>
          <w:rFonts w:ascii="Times New Roman" w:hAnsi="Times New Roman" w:cs="Times New Roman"/>
          <w:sz w:val="24"/>
          <w:szCs w:val="24"/>
        </w:rPr>
        <w:t>.</w:t>
      </w:r>
    </w:p>
    <w:p w:rsidR="005656A4" w:rsidRPr="00134C2C" w:rsidRDefault="005656A4"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w:t>
      </w:r>
      <w:r w:rsidR="0096104F" w:rsidRPr="00134C2C">
        <w:rPr>
          <w:rFonts w:ascii="Times New Roman" w:hAnsi="Times New Roman" w:cs="Times New Roman"/>
          <w:sz w:val="24"/>
          <w:szCs w:val="24"/>
        </w:rPr>
        <w:t xml:space="preserve">                </w:t>
      </w:r>
      <w:r w:rsidRPr="00134C2C">
        <w:rPr>
          <w:rFonts w:ascii="Times New Roman" w:hAnsi="Times New Roman" w:cs="Times New Roman"/>
          <w:sz w:val="24"/>
          <w:szCs w:val="24"/>
        </w:rPr>
        <w:t xml:space="preserve">Considering the AR as a reference landmark, we found the distance from the AR to the GPF to be 29.47 mm. We could not compare our AR to GPF distance to other studies </w:t>
      </w:r>
      <w:r w:rsidR="001F1D3E" w:rsidRPr="00134C2C">
        <w:rPr>
          <w:rFonts w:ascii="Times New Roman" w:hAnsi="Times New Roman" w:cs="Times New Roman"/>
          <w:sz w:val="24"/>
          <w:szCs w:val="24"/>
          <w:vertAlign w:val="superscript"/>
        </w:rPr>
        <w:t>[6,7,10</w:t>
      </w:r>
      <w:r w:rsidRPr="00134C2C">
        <w:rPr>
          <w:rFonts w:ascii="Times New Roman" w:hAnsi="Times New Roman" w:cs="Times New Roman"/>
          <w:sz w:val="24"/>
          <w:szCs w:val="24"/>
          <w:vertAlign w:val="superscript"/>
        </w:rPr>
        <w:t xml:space="preserve">] </w:t>
      </w:r>
      <w:r w:rsidRPr="00134C2C">
        <w:rPr>
          <w:rFonts w:ascii="Times New Roman" w:hAnsi="Times New Roman" w:cs="Times New Roman"/>
          <w:sz w:val="24"/>
          <w:szCs w:val="24"/>
        </w:rPr>
        <w:t xml:space="preserve">because usually they evaluate the distance from GPF to the posterior border of the palate instead of the distance from GPF to AR as we did. </w:t>
      </w:r>
    </w:p>
    <w:p w:rsidR="00D9379A" w:rsidRPr="00134C2C" w:rsidRDefault="005656A4"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w:t>
      </w:r>
      <w:r w:rsidR="00B1334E">
        <w:rPr>
          <w:rFonts w:ascii="Times New Roman" w:hAnsi="Times New Roman" w:cs="Times New Roman"/>
          <w:sz w:val="24"/>
          <w:szCs w:val="24"/>
        </w:rPr>
        <w:t xml:space="preserve">Methathrathip </w:t>
      </w:r>
      <w:r w:rsidR="00E2606F" w:rsidRPr="00134C2C">
        <w:rPr>
          <w:rFonts w:ascii="Times New Roman" w:hAnsi="Times New Roman" w:cs="Times New Roman"/>
          <w:sz w:val="24"/>
          <w:szCs w:val="24"/>
        </w:rPr>
        <w:t>et al.</w:t>
      </w:r>
      <w:r w:rsidR="00E2606F" w:rsidRPr="00134C2C">
        <w:rPr>
          <w:rFonts w:ascii="Times New Roman" w:hAnsi="Times New Roman" w:cs="Times New Roman"/>
          <w:sz w:val="24"/>
          <w:szCs w:val="24"/>
          <w:vertAlign w:val="superscript"/>
        </w:rPr>
        <w:t>[8</w:t>
      </w:r>
      <w:r w:rsidR="00D9379A" w:rsidRPr="00134C2C">
        <w:rPr>
          <w:rFonts w:ascii="Times New Roman" w:hAnsi="Times New Roman" w:cs="Times New Roman"/>
          <w:sz w:val="24"/>
          <w:szCs w:val="24"/>
          <w:vertAlign w:val="superscript"/>
        </w:rPr>
        <w:t>]</w:t>
      </w:r>
      <w:r w:rsidR="00D9379A" w:rsidRPr="00134C2C">
        <w:rPr>
          <w:rFonts w:ascii="Times New Roman" w:hAnsi="Times New Roman" w:cs="Times New Roman"/>
          <w:sz w:val="24"/>
          <w:szCs w:val="24"/>
        </w:rPr>
        <w:t xml:space="preserve"> studied 105 dried skulls and reported that the length of the GPC and PPF from the GPF to the inferior border of the foramen rotendum ranged from 16.3 to 40.9 mm, with a mean of 29.7 ± 4.2 mm, which is consistent with the present study results (mean CL = 28.61 ± 3.51 mm). </w:t>
      </w:r>
      <w:r w:rsidR="0050460D">
        <w:rPr>
          <w:rFonts w:ascii="Times New Roman" w:hAnsi="Times New Roman" w:cs="Times New Roman"/>
          <w:sz w:val="24"/>
          <w:szCs w:val="24"/>
        </w:rPr>
        <w:t>McKinney</w:t>
      </w:r>
      <w:r w:rsidR="009D06A2" w:rsidRPr="00134C2C">
        <w:rPr>
          <w:rFonts w:ascii="Times New Roman" w:hAnsi="Times New Roman" w:cs="Times New Roman"/>
          <w:sz w:val="24"/>
          <w:szCs w:val="24"/>
        </w:rPr>
        <w:t xml:space="preserve"> et al</w:t>
      </w:r>
      <w:r w:rsidR="009D06A2" w:rsidRPr="00134C2C">
        <w:rPr>
          <w:rFonts w:ascii="Times New Roman" w:hAnsi="Times New Roman" w:cs="Times New Roman"/>
          <w:b/>
          <w:sz w:val="24"/>
          <w:szCs w:val="24"/>
        </w:rPr>
        <w:t>.</w:t>
      </w:r>
      <w:r w:rsidR="00E2606F" w:rsidRPr="00134C2C">
        <w:rPr>
          <w:rFonts w:ascii="Times New Roman" w:hAnsi="Times New Roman" w:cs="Times New Roman"/>
          <w:sz w:val="24"/>
          <w:szCs w:val="24"/>
          <w:vertAlign w:val="superscript"/>
        </w:rPr>
        <w:t>13</w:t>
      </w:r>
      <w:r w:rsidR="009D06A2" w:rsidRPr="00134C2C">
        <w:rPr>
          <w:rFonts w:ascii="Times New Roman" w:hAnsi="Times New Roman" w:cs="Times New Roman"/>
          <w:sz w:val="24"/>
          <w:szCs w:val="24"/>
        </w:rPr>
        <w:t xml:space="preserve"> </w:t>
      </w:r>
      <w:r w:rsidR="00D9379A" w:rsidRPr="00134C2C">
        <w:rPr>
          <w:rFonts w:ascii="Times New Roman" w:hAnsi="Times New Roman" w:cs="Times New Roman"/>
          <w:sz w:val="24"/>
          <w:szCs w:val="24"/>
        </w:rPr>
        <w:t xml:space="preserve">analyzed the length of the GPC using high-resolution CT, and reported that the mean distance from the GPF to the sphenopalatine </w:t>
      </w:r>
      <w:r w:rsidR="00955A99" w:rsidRPr="00134C2C">
        <w:rPr>
          <w:rFonts w:ascii="Times New Roman" w:hAnsi="Times New Roman" w:cs="Times New Roman"/>
          <w:sz w:val="24"/>
          <w:szCs w:val="24"/>
        </w:rPr>
        <w:t>foramen to be 28.75 mm</w:t>
      </w:r>
      <w:r w:rsidR="00D9379A" w:rsidRPr="00134C2C">
        <w:rPr>
          <w:rFonts w:ascii="Times New Roman" w:hAnsi="Times New Roman" w:cs="Times New Roman"/>
          <w:sz w:val="24"/>
          <w:szCs w:val="24"/>
        </w:rPr>
        <w:t xml:space="preserve">. Hwang, et al. repeated the study using 3D CT scans and reported a mean height of the PPF and mean CL that were also in agreement with our findings. </w:t>
      </w:r>
    </w:p>
    <w:p w:rsidR="005656A4" w:rsidRPr="00134C2C" w:rsidRDefault="00D9379A"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However, the</w:t>
      </w:r>
      <w:r w:rsidR="00955A99" w:rsidRPr="00134C2C">
        <w:rPr>
          <w:rFonts w:ascii="Times New Roman" w:hAnsi="Times New Roman" w:cs="Times New Roman"/>
          <w:sz w:val="24"/>
          <w:szCs w:val="24"/>
        </w:rPr>
        <w:t xml:space="preserve"> mean CL</w:t>
      </w:r>
      <w:r w:rsidRPr="00134C2C">
        <w:rPr>
          <w:rFonts w:ascii="Times New Roman" w:hAnsi="Times New Roman" w:cs="Times New Roman"/>
          <w:sz w:val="24"/>
          <w:szCs w:val="24"/>
        </w:rPr>
        <w:t xml:space="preserve"> reported by Douglas, </w:t>
      </w:r>
      <w:r w:rsidR="00955A99" w:rsidRPr="00134C2C">
        <w:rPr>
          <w:rFonts w:ascii="Times New Roman" w:hAnsi="Times New Roman" w:cs="Times New Roman"/>
          <w:sz w:val="24"/>
          <w:szCs w:val="24"/>
        </w:rPr>
        <w:t>et al.</w:t>
      </w:r>
      <w:r w:rsidR="00E2606F" w:rsidRPr="00134C2C">
        <w:rPr>
          <w:rFonts w:ascii="Times New Roman" w:hAnsi="Times New Roman" w:cs="Times New Roman"/>
          <w:sz w:val="24"/>
          <w:szCs w:val="24"/>
          <w:vertAlign w:val="superscript"/>
        </w:rPr>
        <w:t>13</w:t>
      </w:r>
      <w:r w:rsidR="00955A99" w:rsidRPr="00134C2C">
        <w:rPr>
          <w:rFonts w:ascii="Times New Roman" w:hAnsi="Times New Roman" w:cs="Times New Roman"/>
          <w:sz w:val="24"/>
          <w:szCs w:val="24"/>
        </w:rPr>
        <w:t xml:space="preserve"> (40.1 mm) </w:t>
      </w:r>
      <w:r w:rsidRPr="00134C2C">
        <w:rPr>
          <w:rFonts w:ascii="Times New Roman" w:hAnsi="Times New Roman" w:cs="Times New Roman"/>
          <w:sz w:val="24"/>
          <w:szCs w:val="24"/>
        </w:rPr>
        <w:t>were not consistent with the present study; these differences could be explained by the small number of subjects included in the study or by differences in ethnicity.</w:t>
      </w:r>
    </w:p>
    <w:p w:rsidR="00D9379A" w:rsidRPr="00134C2C" w:rsidRDefault="009D06A2"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I</w:t>
      </w:r>
      <w:r w:rsidR="00D9379A" w:rsidRPr="00134C2C">
        <w:rPr>
          <w:rFonts w:ascii="Times New Roman" w:hAnsi="Times New Roman" w:cs="Times New Roman"/>
          <w:sz w:val="24"/>
          <w:szCs w:val="24"/>
        </w:rPr>
        <w:t>n our study, the mean CL was higher in males than in females. Previous studi</w:t>
      </w:r>
      <w:r w:rsidR="00E2606F" w:rsidRPr="00134C2C">
        <w:rPr>
          <w:rFonts w:ascii="Times New Roman" w:hAnsi="Times New Roman" w:cs="Times New Roman"/>
          <w:sz w:val="24"/>
          <w:szCs w:val="24"/>
        </w:rPr>
        <w:t xml:space="preserve">es1 </w:t>
      </w:r>
      <w:r w:rsidR="00D9379A" w:rsidRPr="00134C2C">
        <w:rPr>
          <w:rFonts w:ascii="Times New Roman" w:hAnsi="Times New Roman" w:cs="Times New Roman"/>
          <w:sz w:val="24"/>
          <w:szCs w:val="24"/>
        </w:rPr>
        <w:t>on sexual dimorphism have suggested that the craniofacial complex is highly variable in both size and shape by sex, and the zygomatic curve and skull size are generally larger in males than in females. Differences in the shape of the midsagittal curve, the skull roof, the upper one-third of the face, the nose, eyes, and palate are all statistically significantly different between males and females.</w:t>
      </w:r>
    </w:p>
    <w:p w:rsidR="009D06A2" w:rsidRPr="00134C2C" w:rsidRDefault="00D9379A"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In the coronal plane, the most common pathway observed was consistent with that</w:t>
      </w:r>
      <w:r w:rsidR="00B1334E">
        <w:rPr>
          <w:rFonts w:ascii="Times New Roman" w:hAnsi="Times New Roman" w:cs="Times New Roman"/>
          <w:sz w:val="24"/>
          <w:szCs w:val="24"/>
        </w:rPr>
        <w:t xml:space="preserve"> reported by Haward-Swirzinski et al </w:t>
      </w:r>
      <w:r w:rsidR="00E2606F" w:rsidRPr="00134C2C">
        <w:rPr>
          <w:rFonts w:ascii="Times New Roman" w:hAnsi="Times New Roman" w:cs="Times New Roman"/>
          <w:sz w:val="24"/>
          <w:szCs w:val="24"/>
          <w:vertAlign w:val="superscript"/>
        </w:rPr>
        <w:t>[2</w:t>
      </w:r>
      <w:r w:rsidRPr="00134C2C">
        <w:rPr>
          <w:rFonts w:ascii="Times New Roman" w:hAnsi="Times New Roman" w:cs="Times New Roman"/>
          <w:sz w:val="24"/>
          <w:szCs w:val="24"/>
          <w:vertAlign w:val="superscript"/>
        </w:rPr>
        <w:t xml:space="preserve">] </w:t>
      </w:r>
      <w:r w:rsidRPr="00134C2C">
        <w:rPr>
          <w:rFonts w:ascii="Times New Roman" w:hAnsi="Times New Roman" w:cs="Times New Roman"/>
          <w:sz w:val="24"/>
          <w:szCs w:val="24"/>
        </w:rPr>
        <w:t xml:space="preserve">but this was not in agreement with the pathway they observed in the sagittal plane, which could be explained by the small number of subjects included in our study or </w:t>
      </w:r>
      <w:r w:rsidRPr="00134C2C">
        <w:rPr>
          <w:rFonts w:ascii="Times New Roman" w:hAnsi="Times New Roman" w:cs="Times New Roman"/>
          <w:sz w:val="24"/>
          <w:szCs w:val="24"/>
        </w:rPr>
        <w:lastRenderedPageBreak/>
        <w:t>by the differences due to ethnicity or sex.</w:t>
      </w:r>
      <w:r w:rsidR="009D06A2" w:rsidRPr="00134C2C">
        <w:rPr>
          <w:rFonts w:ascii="Times New Roman" w:hAnsi="Times New Roman" w:cs="Times New Roman"/>
          <w:sz w:val="24"/>
          <w:szCs w:val="24"/>
        </w:rPr>
        <w:t xml:space="preserve"> Also in our study we have calculated typical cut-off values which helps in predicting male and female genders, the values of which could be helpful in medico-legal cases and mass disorders (forensic identification).</w:t>
      </w:r>
    </w:p>
    <w:p w:rsidR="005672F1" w:rsidRDefault="00D9379A" w:rsidP="00134C2C">
      <w:pPr>
        <w:jc w:val="both"/>
        <w:rPr>
          <w:rFonts w:ascii="Times New Roman" w:hAnsi="Times New Roman" w:cs="Times New Roman"/>
          <w:sz w:val="24"/>
          <w:szCs w:val="24"/>
        </w:rPr>
      </w:pPr>
      <w:r w:rsidRPr="00134C2C">
        <w:rPr>
          <w:rFonts w:ascii="Times New Roman" w:hAnsi="Times New Roman" w:cs="Times New Roman"/>
          <w:sz w:val="24"/>
          <w:szCs w:val="24"/>
        </w:rPr>
        <w:t xml:space="preserve">       .       A limiting factor in the present study </w:t>
      </w:r>
      <w:r w:rsidR="00B1334E">
        <w:rPr>
          <w:rFonts w:ascii="Times New Roman" w:hAnsi="Times New Roman" w:cs="Times New Roman"/>
          <w:sz w:val="24"/>
          <w:szCs w:val="24"/>
        </w:rPr>
        <w:t>was the small sample size and we suggest</w:t>
      </w:r>
      <w:r w:rsidRPr="00134C2C">
        <w:rPr>
          <w:rFonts w:ascii="Times New Roman" w:hAnsi="Times New Roman" w:cs="Times New Roman"/>
          <w:sz w:val="24"/>
          <w:szCs w:val="24"/>
        </w:rPr>
        <w:t xml:space="preserve"> that further studies </w:t>
      </w:r>
      <w:r w:rsidR="00B1334E">
        <w:rPr>
          <w:rFonts w:ascii="Times New Roman" w:hAnsi="Times New Roman" w:cs="Times New Roman"/>
          <w:sz w:val="24"/>
          <w:szCs w:val="24"/>
        </w:rPr>
        <w:t xml:space="preserve">to </w:t>
      </w:r>
      <w:r w:rsidRPr="00134C2C">
        <w:rPr>
          <w:rFonts w:ascii="Times New Roman" w:hAnsi="Times New Roman" w:cs="Times New Roman"/>
          <w:sz w:val="24"/>
          <w:szCs w:val="24"/>
        </w:rPr>
        <w:t xml:space="preserve">be performed on a larger group of subjects of different age and ethnicity. It is also suggested that </w:t>
      </w:r>
      <w:r w:rsidR="005672F1">
        <w:rPr>
          <w:rFonts w:ascii="Times New Roman" w:hAnsi="Times New Roman" w:cs="Times New Roman"/>
          <w:sz w:val="24"/>
          <w:szCs w:val="24"/>
        </w:rPr>
        <w:t>GPF should</w:t>
      </w:r>
      <w:r w:rsidRPr="00134C2C">
        <w:rPr>
          <w:rFonts w:ascii="Times New Roman" w:hAnsi="Times New Roman" w:cs="Times New Roman"/>
          <w:sz w:val="24"/>
          <w:szCs w:val="24"/>
        </w:rPr>
        <w:t xml:space="preserve"> be compared in adults and children as well as in subjects with specific craniofacial diseases.</w:t>
      </w:r>
    </w:p>
    <w:p w:rsidR="005672F1" w:rsidRPr="005672F1" w:rsidRDefault="00FF0D94" w:rsidP="00134C2C">
      <w:pPr>
        <w:jc w:val="both"/>
        <w:rPr>
          <w:rFonts w:ascii="Times New Roman" w:hAnsi="Times New Roman" w:cs="Times New Roman"/>
          <w:sz w:val="24"/>
          <w:szCs w:val="24"/>
        </w:rPr>
      </w:pPr>
      <w:r w:rsidRPr="00134C2C">
        <w:rPr>
          <w:rFonts w:ascii="Times New Roman" w:hAnsi="Times New Roman" w:cs="Times New Roman"/>
          <w:b/>
          <w:sz w:val="24"/>
          <w:szCs w:val="24"/>
        </w:rPr>
        <w:t>CONCLUSION</w:t>
      </w:r>
    </w:p>
    <w:p w:rsidR="005672F1" w:rsidRDefault="005672F1" w:rsidP="00134C2C">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9D06A2" w:rsidRPr="00134C2C">
        <w:rPr>
          <w:rFonts w:ascii="Times New Roman" w:hAnsi="Times New Roman" w:cs="Times New Roman"/>
          <w:sz w:val="24"/>
          <w:szCs w:val="24"/>
        </w:rPr>
        <w:t xml:space="preserve">Thus it is important to consider CBCT as an important diagnostic tool especially to study the most inaccessible areas which cannot be studied by other imaging modalities. </w:t>
      </w:r>
      <w:r w:rsidR="00FF0D94" w:rsidRPr="00134C2C">
        <w:rPr>
          <w:rFonts w:ascii="Times New Roman" w:hAnsi="Times New Roman" w:cs="Times New Roman"/>
          <w:sz w:val="24"/>
          <w:szCs w:val="24"/>
        </w:rPr>
        <w:t xml:space="preserve">The GPF may be an anatomical obstacle in oral and maxillofacial surgery procedures in the posterior area of </w:t>
      </w:r>
      <w:r w:rsidR="009D06A2" w:rsidRPr="00134C2C">
        <w:rPr>
          <w:rFonts w:ascii="Times New Roman" w:hAnsi="Times New Roman" w:cs="Times New Roman"/>
          <w:sz w:val="24"/>
          <w:szCs w:val="24"/>
        </w:rPr>
        <w:t xml:space="preserve">the palate, but using CBCT </w:t>
      </w:r>
      <w:r w:rsidR="00FF0D94" w:rsidRPr="00134C2C">
        <w:rPr>
          <w:rFonts w:ascii="Times New Roman" w:hAnsi="Times New Roman" w:cs="Times New Roman"/>
          <w:sz w:val="24"/>
          <w:szCs w:val="24"/>
        </w:rPr>
        <w:t>the variations in its position can help the clinicians in providing improved surgical procedures</w:t>
      </w:r>
      <w:r w:rsidR="009D06A2" w:rsidRPr="00134C2C">
        <w:rPr>
          <w:rFonts w:ascii="Times New Roman" w:hAnsi="Times New Roman" w:cs="Times New Roman"/>
          <w:sz w:val="24"/>
          <w:szCs w:val="24"/>
        </w:rPr>
        <w:t xml:space="preserve"> and may also be helpful in forensic identification</w:t>
      </w:r>
      <w:r w:rsidR="00FF0D94" w:rsidRPr="00134C2C">
        <w:rPr>
          <w:rFonts w:ascii="Times New Roman" w:hAnsi="Times New Roman" w:cs="Times New Roman"/>
          <w:sz w:val="24"/>
          <w:szCs w:val="24"/>
        </w:rPr>
        <w:t>. Details on clinical anatomy of GPF can also be helpful in evaluating and predicting craniofacial growth.</w:t>
      </w:r>
    </w:p>
    <w:p w:rsidR="00D9379A" w:rsidRPr="005672F1" w:rsidRDefault="00A36794" w:rsidP="00134C2C">
      <w:pPr>
        <w:jc w:val="both"/>
        <w:rPr>
          <w:rFonts w:ascii="Times New Roman" w:hAnsi="Times New Roman" w:cs="Times New Roman"/>
          <w:b/>
          <w:sz w:val="24"/>
          <w:szCs w:val="24"/>
        </w:rPr>
      </w:pPr>
      <w:r w:rsidRPr="00134C2C">
        <w:rPr>
          <w:rFonts w:ascii="Times New Roman" w:hAnsi="Times New Roman" w:cs="Times New Roman"/>
          <w:sz w:val="24"/>
          <w:szCs w:val="24"/>
        </w:rPr>
        <w:t xml:space="preserve"> REFERENCES</w:t>
      </w:r>
    </w:p>
    <w:p w:rsidR="00A36794" w:rsidRPr="00134C2C" w:rsidRDefault="00A36794" w:rsidP="00134C2C">
      <w:pPr>
        <w:pStyle w:val="ListParagraph"/>
        <w:numPr>
          <w:ilvl w:val="0"/>
          <w:numId w:val="2"/>
        </w:numPr>
        <w:jc w:val="both"/>
        <w:rPr>
          <w:rFonts w:ascii="Times New Roman" w:hAnsi="Times New Roman" w:cs="Times New Roman"/>
          <w:sz w:val="24"/>
          <w:szCs w:val="24"/>
        </w:rPr>
      </w:pPr>
      <w:r w:rsidRPr="00134C2C">
        <w:rPr>
          <w:rFonts w:ascii="Times New Roman" w:hAnsi="Times New Roman" w:cs="Times New Roman"/>
          <w:sz w:val="24"/>
          <w:szCs w:val="24"/>
        </w:rPr>
        <w:t xml:space="preserve">Length and anatomic routes of the greater palatine canal as observed by cone beam computed tomography Mahnaz Sheikhi et al </w:t>
      </w:r>
      <w:r w:rsidRPr="00134C2C">
        <w:rPr>
          <w:rFonts w:ascii="Times New Roman" w:hAnsi="Times New Roman" w:cs="Times New Roman"/>
          <w:i/>
          <w:sz w:val="24"/>
          <w:szCs w:val="24"/>
        </w:rPr>
        <w:t>Dental research journal</w:t>
      </w:r>
      <w:r w:rsidRPr="00134C2C">
        <w:rPr>
          <w:rFonts w:ascii="Times New Roman" w:hAnsi="Times New Roman" w:cs="Times New Roman"/>
          <w:sz w:val="24"/>
          <w:szCs w:val="24"/>
        </w:rPr>
        <w:t>, vol 18, no 2, pp.155-161, 2013</w:t>
      </w:r>
    </w:p>
    <w:p w:rsidR="00A36794" w:rsidRPr="00134C2C" w:rsidRDefault="00A36794" w:rsidP="00134C2C">
      <w:pPr>
        <w:pStyle w:val="ListParagraph"/>
        <w:numPr>
          <w:ilvl w:val="0"/>
          <w:numId w:val="2"/>
        </w:numPr>
        <w:jc w:val="both"/>
        <w:rPr>
          <w:rFonts w:ascii="Times New Roman" w:hAnsi="Times New Roman" w:cs="Times New Roman"/>
          <w:sz w:val="24"/>
          <w:szCs w:val="24"/>
        </w:rPr>
      </w:pPr>
      <w:r w:rsidRPr="00134C2C">
        <w:rPr>
          <w:rFonts w:ascii="Times New Roman" w:hAnsi="Times New Roman" w:cs="Times New Roman"/>
          <w:sz w:val="24"/>
          <w:szCs w:val="24"/>
        </w:rPr>
        <w:t>Haward-Swirzinski K, Edwards PC, Saini TS, Norton NS. Length and geometric patterns of the greater palatine canal observed in cone beam computed tomography. Int J Dent 2010; 2010.pii: 292753.10.</w:t>
      </w:r>
    </w:p>
    <w:p w:rsidR="00437DE0" w:rsidRPr="00134C2C" w:rsidRDefault="00437DE0" w:rsidP="00134C2C">
      <w:pPr>
        <w:pStyle w:val="ListParagraph"/>
        <w:numPr>
          <w:ilvl w:val="0"/>
          <w:numId w:val="2"/>
        </w:numPr>
        <w:jc w:val="both"/>
        <w:rPr>
          <w:rFonts w:ascii="Times New Roman" w:hAnsi="Times New Roman" w:cs="Times New Roman"/>
          <w:sz w:val="24"/>
          <w:szCs w:val="24"/>
        </w:rPr>
      </w:pPr>
      <w:r w:rsidRPr="00134C2C">
        <w:rPr>
          <w:rFonts w:ascii="Times New Roman" w:hAnsi="Times New Roman" w:cs="Times New Roman"/>
          <w:sz w:val="24"/>
          <w:szCs w:val="24"/>
        </w:rPr>
        <w:t>An analysis of the position of the greater palatine foramen Akram et al J.Basic.med. Sc Vol.3, No.1, 2003</w:t>
      </w:r>
    </w:p>
    <w:p w:rsidR="00A36794" w:rsidRPr="00134C2C" w:rsidRDefault="00A36794" w:rsidP="00134C2C">
      <w:pPr>
        <w:pStyle w:val="ListParagraph"/>
        <w:numPr>
          <w:ilvl w:val="0"/>
          <w:numId w:val="2"/>
        </w:numPr>
        <w:jc w:val="both"/>
        <w:rPr>
          <w:rFonts w:ascii="Times New Roman" w:hAnsi="Times New Roman" w:cs="Times New Roman"/>
          <w:sz w:val="24"/>
          <w:szCs w:val="24"/>
        </w:rPr>
      </w:pPr>
      <w:r w:rsidRPr="00134C2C">
        <w:rPr>
          <w:rFonts w:ascii="Times New Roman" w:hAnsi="Times New Roman" w:cs="Times New Roman"/>
          <w:sz w:val="24"/>
          <w:szCs w:val="24"/>
        </w:rPr>
        <w:t>Anatomical and clinical considerations regarding the greater palatine foramen V.Nimigean et al Rom J Morphol Embryol 2013, 54(3 Suppl):779–783</w:t>
      </w:r>
    </w:p>
    <w:p w:rsidR="00437DE0" w:rsidRPr="00134C2C" w:rsidRDefault="00437DE0" w:rsidP="00134C2C">
      <w:pPr>
        <w:pStyle w:val="ListParagraph"/>
        <w:numPr>
          <w:ilvl w:val="0"/>
          <w:numId w:val="2"/>
        </w:numPr>
        <w:jc w:val="both"/>
        <w:rPr>
          <w:rFonts w:ascii="Times New Roman" w:hAnsi="Times New Roman" w:cs="Times New Roman"/>
          <w:sz w:val="24"/>
          <w:szCs w:val="24"/>
        </w:rPr>
      </w:pPr>
      <w:r w:rsidRPr="00134C2C">
        <w:rPr>
          <w:rFonts w:ascii="Times New Roman" w:hAnsi="Times New Roman" w:cs="Times New Roman"/>
          <w:sz w:val="24"/>
          <w:szCs w:val="24"/>
        </w:rPr>
        <w:t>Position of the greater palatine foramen: an anatomical study through cone beam computed tomography images Carla et al Surg Radiol Anat DOI 10.1007/s00276-013-1151-z</w:t>
      </w:r>
    </w:p>
    <w:p w:rsidR="00A36794" w:rsidRPr="00134C2C" w:rsidRDefault="008228D2" w:rsidP="00134C2C">
      <w:pPr>
        <w:pStyle w:val="ListParagraph"/>
        <w:numPr>
          <w:ilvl w:val="0"/>
          <w:numId w:val="2"/>
        </w:numPr>
        <w:jc w:val="both"/>
        <w:rPr>
          <w:rFonts w:ascii="Times New Roman" w:hAnsi="Times New Roman" w:cs="Times New Roman"/>
          <w:sz w:val="24"/>
          <w:szCs w:val="24"/>
        </w:rPr>
      </w:pPr>
      <w:r w:rsidRPr="00134C2C">
        <w:rPr>
          <w:rFonts w:ascii="Times New Roman" w:hAnsi="Times New Roman" w:cs="Times New Roman"/>
          <w:sz w:val="24"/>
          <w:szCs w:val="24"/>
        </w:rPr>
        <w:t>Ajmani ML (1994) Anatomical variation in position of the greater palatine foramen in the adult human skull. J Anat 184: 635–637</w:t>
      </w:r>
    </w:p>
    <w:p w:rsidR="008228D2" w:rsidRPr="00134C2C" w:rsidRDefault="008228D2" w:rsidP="00134C2C">
      <w:pPr>
        <w:pStyle w:val="ListParagraph"/>
        <w:numPr>
          <w:ilvl w:val="0"/>
          <w:numId w:val="2"/>
        </w:numPr>
        <w:jc w:val="both"/>
        <w:rPr>
          <w:rFonts w:ascii="Times New Roman" w:hAnsi="Times New Roman" w:cs="Times New Roman"/>
          <w:sz w:val="24"/>
          <w:szCs w:val="24"/>
        </w:rPr>
      </w:pPr>
      <w:r w:rsidRPr="00134C2C">
        <w:rPr>
          <w:rFonts w:ascii="Times New Roman" w:hAnsi="Times New Roman" w:cs="Times New Roman"/>
          <w:sz w:val="24"/>
          <w:szCs w:val="24"/>
        </w:rPr>
        <w:t>Saralaya V, Nayak SR (2007) The relative position of the greater palatine foramen in dry Indian skulls. Singapore Med J 48:1143–1146 skulls. Indian J Dent Res 16:99–102</w:t>
      </w:r>
    </w:p>
    <w:p w:rsidR="008228D2" w:rsidRPr="00134C2C" w:rsidRDefault="008228D2" w:rsidP="00134C2C">
      <w:pPr>
        <w:pStyle w:val="ListParagraph"/>
        <w:numPr>
          <w:ilvl w:val="0"/>
          <w:numId w:val="2"/>
        </w:numPr>
        <w:jc w:val="both"/>
        <w:rPr>
          <w:rFonts w:ascii="Times New Roman" w:hAnsi="Times New Roman" w:cs="Times New Roman"/>
          <w:sz w:val="24"/>
          <w:szCs w:val="24"/>
        </w:rPr>
      </w:pPr>
      <w:r w:rsidRPr="00134C2C">
        <w:rPr>
          <w:rFonts w:ascii="Times New Roman" w:hAnsi="Times New Roman" w:cs="Times New Roman"/>
          <w:sz w:val="24"/>
          <w:szCs w:val="24"/>
        </w:rPr>
        <w:t>Methathrathip D, Apinhasmit W, Chompoopong S, Lertsirithong A, Ariyawatkul T, Sangvichien S (2005) Anatomy of greater palatine foramen and canal and pterygopalatine fossa in Thais: considerations for maxillary nerve block. Surg Radiol Anat 27:511–516</w:t>
      </w:r>
    </w:p>
    <w:p w:rsidR="008228D2" w:rsidRPr="00134C2C" w:rsidRDefault="001F1D3E" w:rsidP="00134C2C">
      <w:pPr>
        <w:pStyle w:val="ListParagraph"/>
        <w:numPr>
          <w:ilvl w:val="0"/>
          <w:numId w:val="2"/>
        </w:numPr>
        <w:jc w:val="both"/>
        <w:rPr>
          <w:rFonts w:ascii="Times New Roman" w:hAnsi="Times New Roman" w:cs="Times New Roman"/>
          <w:sz w:val="24"/>
          <w:szCs w:val="24"/>
        </w:rPr>
      </w:pPr>
      <w:r w:rsidRPr="00134C2C">
        <w:rPr>
          <w:rFonts w:ascii="Times New Roman" w:hAnsi="Times New Roman" w:cs="Times New Roman"/>
          <w:sz w:val="24"/>
          <w:szCs w:val="24"/>
        </w:rPr>
        <w:t>Klosek SK, Rungruang T (2009) Anatomical study of the greater palatine artery and related structures of the palatal vault: considerations for palate as the subepithelial connective tissue graft donor site. Surg Radiol Anat 31:245–250</w:t>
      </w:r>
    </w:p>
    <w:p w:rsidR="001F1D3E" w:rsidRPr="00134C2C" w:rsidRDefault="001F1D3E" w:rsidP="00134C2C">
      <w:pPr>
        <w:pStyle w:val="ListParagraph"/>
        <w:numPr>
          <w:ilvl w:val="0"/>
          <w:numId w:val="2"/>
        </w:numPr>
        <w:jc w:val="both"/>
        <w:rPr>
          <w:rFonts w:ascii="Times New Roman" w:hAnsi="Times New Roman" w:cs="Times New Roman"/>
          <w:sz w:val="24"/>
          <w:szCs w:val="24"/>
        </w:rPr>
      </w:pPr>
      <w:r w:rsidRPr="00134C2C">
        <w:rPr>
          <w:rFonts w:ascii="Times New Roman" w:hAnsi="Times New Roman" w:cs="Times New Roman"/>
          <w:sz w:val="24"/>
          <w:szCs w:val="24"/>
        </w:rPr>
        <w:t>Sharma NA, Garud RS (2013) Greater palatine foramen—key to dimensions at the palatal vault as a donor site. J Periodontol successful hemimaxillary anaesthesia: a morphometric study and 77:899–902 report of a rare aberration. Singapore Med J 54(3):152–159</w:t>
      </w:r>
    </w:p>
    <w:p w:rsidR="001F1D3E" w:rsidRPr="00134C2C" w:rsidRDefault="001F1D3E" w:rsidP="00134C2C">
      <w:pPr>
        <w:pStyle w:val="ListParagraph"/>
        <w:numPr>
          <w:ilvl w:val="0"/>
          <w:numId w:val="2"/>
        </w:numPr>
        <w:jc w:val="both"/>
        <w:rPr>
          <w:rFonts w:ascii="Times New Roman" w:hAnsi="Times New Roman" w:cs="Times New Roman"/>
          <w:sz w:val="24"/>
          <w:szCs w:val="24"/>
        </w:rPr>
      </w:pPr>
      <w:r w:rsidRPr="00134C2C">
        <w:rPr>
          <w:rFonts w:ascii="Times New Roman" w:hAnsi="Times New Roman" w:cs="Times New Roman"/>
          <w:sz w:val="24"/>
          <w:szCs w:val="24"/>
        </w:rPr>
        <w:lastRenderedPageBreak/>
        <w:t>Kim HS, Kim DI, Chung IH (1996) High-resolution CT of the pterygopalatine fossa and its communications. Neuroradiology 38:120–126</w:t>
      </w:r>
    </w:p>
    <w:p w:rsidR="001F1D3E" w:rsidRPr="00134C2C" w:rsidRDefault="001F1D3E" w:rsidP="00134C2C">
      <w:pPr>
        <w:pStyle w:val="ListParagraph"/>
        <w:numPr>
          <w:ilvl w:val="0"/>
          <w:numId w:val="2"/>
        </w:numPr>
        <w:jc w:val="both"/>
        <w:rPr>
          <w:rFonts w:ascii="Times New Roman" w:hAnsi="Times New Roman" w:cs="Times New Roman"/>
          <w:sz w:val="24"/>
          <w:szCs w:val="24"/>
        </w:rPr>
      </w:pPr>
      <w:r w:rsidRPr="00134C2C">
        <w:rPr>
          <w:rFonts w:ascii="Times New Roman" w:hAnsi="Times New Roman" w:cs="Times New Roman"/>
          <w:sz w:val="24"/>
          <w:szCs w:val="24"/>
        </w:rPr>
        <w:t>Mendel N, Puterbaugh PG (1938) Conduction, infiltration and general anesthesia in dentistry, 4th edn. Dental Items of Interest Publishing Co, New York, p 140</w:t>
      </w:r>
    </w:p>
    <w:p w:rsidR="001F1D3E" w:rsidRPr="00134C2C" w:rsidRDefault="00E2606F" w:rsidP="00134C2C">
      <w:pPr>
        <w:pStyle w:val="ListParagraph"/>
        <w:numPr>
          <w:ilvl w:val="0"/>
          <w:numId w:val="2"/>
        </w:numPr>
        <w:jc w:val="both"/>
        <w:rPr>
          <w:rFonts w:ascii="Times New Roman" w:hAnsi="Times New Roman" w:cs="Times New Roman"/>
          <w:sz w:val="24"/>
          <w:szCs w:val="24"/>
        </w:rPr>
      </w:pPr>
      <w:r w:rsidRPr="00134C2C">
        <w:rPr>
          <w:rFonts w:ascii="Times New Roman" w:hAnsi="Times New Roman" w:cs="Times New Roman"/>
          <w:sz w:val="24"/>
          <w:szCs w:val="24"/>
        </w:rPr>
        <w:t>Douglas R, Wormald PJ. Pterygopalatine fossa infiltration through the greater palatine foramen: where to bend the needle. Laryngoscope 2006; 116:1255-7</w:t>
      </w:r>
    </w:p>
    <w:p w:rsidR="003822E0" w:rsidRPr="00134C2C" w:rsidRDefault="003822E0" w:rsidP="00134C2C">
      <w:pPr>
        <w:pStyle w:val="ListParagraph"/>
        <w:numPr>
          <w:ilvl w:val="0"/>
          <w:numId w:val="2"/>
        </w:numPr>
        <w:jc w:val="both"/>
        <w:rPr>
          <w:rFonts w:ascii="Times New Roman" w:hAnsi="Times New Roman" w:cs="Times New Roman"/>
          <w:sz w:val="24"/>
          <w:szCs w:val="24"/>
        </w:rPr>
      </w:pPr>
      <w:r w:rsidRPr="00134C2C">
        <w:rPr>
          <w:rFonts w:ascii="Times New Roman" w:hAnsi="Times New Roman" w:cs="Times New Roman"/>
          <w:sz w:val="24"/>
          <w:szCs w:val="24"/>
        </w:rPr>
        <w:t>Sex determination using linear measurements related to the mental and mandibular foramina vertical positions on digital panoramic images Sura A. Rashid J Bagh College Dentistry Vol. 23(special issue), 2011</w:t>
      </w:r>
    </w:p>
    <w:p w:rsidR="00A93611" w:rsidRPr="00134C2C" w:rsidRDefault="00A93611" w:rsidP="00134C2C">
      <w:pPr>
        <w:jc w:val="both"/>
        <w:rPr>
          <w:rFonts w:ascii="Times New Roman" w:hAnsi="Times New Roman" w:cs="Times New Roman"/>
          <w:sz w:val="24"/>
          <w:szCs w:val="24"/>
        </w:rPr>
      </w:pPr>
    </w:p>
    <w:sectPr w:rsidR="00A93611" w:rsidRPr="00134C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3C7" w:rsidRDefault="00E873C7" w:rsidP="000E46B4">
      <w:pPr>
        <w:spacing w:after="0" w:line="240" w:lineRule="auto"/>
      </w:pPr>
      <w:r>
        <w:separator/>
      </w:r>
    </w:p>
  </w:endnote>
  <w:endnote w:type="continuationSeparator" w:id="0">
    <w:p w:rsidR="00E873C7" w:rsidRDefault="00E873C7" w:rsidP="000E4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3C7" w:rsidRDefault="00E873C7" w:rsidP="000E46B4">
      <w:pPr>
        <w:spacing w:after="0" w:line="240" w:lineRule="auto"/>
      </w:pPr>
      <w:r>
        <w:separator/>
      </w:r>
    </w:p>
  </w:footnote>
  <w:footnote w:type="continuationSeparator" w:id="0">
    <w:p w:rsidR="00E873C7" w:rsidRDefault="00E873C7" w:rsidP="000E46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2C70C7"/>
    <w:multiLevelType w:val="hybridMultilevel"/>
    <w:tmpl w:val="D12C0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562F91"/>
    <w:multiLevelType w:val="hybridMultilevel"/>
    <w:tmpl w:val="4CA23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E8"/>
    <w:rsid w:val="00024765"/>
    <w:rsid w:val="00032863"/>
    <w:rsid w:val="00060B4D"/>
    <w:rsid w:val="000E46B4"/>
    <w:rsid w:val="00134C2C"/>
    <w:rsid w:val="0013663C"/>
    <w:rsid w:val="00143958"/>
    <w:rsid w:val="001B177F"/>
    <w:rsid w:val="001E40E4"/>
    <w:rsid w:val="001F1D3E"/>
    <w:rsid w:val="00206AD1"/>
    <w:rsid w:val="002F12C7"/>
    <w:rsid w:val="002F6DAF"/>
    <w:rsid w:val="00325055"/>
    <w:rsid w:val="00375BC6"/>
    <w:rsid w:val="003822E0"/>
    <w:rsid w:val="003921F3"/>
    <w:rsid w:val="003D7D15"/>
    <w:rsid w:val="00437DE0"/>
    <w:rsid w:val="004D2D03"/>
    <w:rsid w:val="004E245F"/>
    <w:rsid w:val="0050460D"/>
    <w:rsid w:val="005656A4"/>
    <w:rsid w:val="005672F1"/>
    <w:rsid w:val="005B2648"/>
    <w:rsid w:val="005C00C2"/>
    <w:rsid w:val="005D0EA5"/>
    <w:rsid w:val="005D72F9"/>
    <w:rsid w:val="005F1088"/>
    <w:rsid w:val="00601C92"/>
    <w:rsid w:val="00623699"/>
    <w:rsid w:val="00645727"/>
    <w:rsid w:val="00695D2E"/>
    <w:rsid w:val="006D3CEB"/>
    <w:rsid w:val="006D4986"/>
    <w:rsid w:val="0072747C"/>
    <w:rsid w:val="00764C42"/>
    <w:rsid w:val="00777107"/>
    <w:rsid w:val="008228D2"/>
    <w:rsid w:val="00832430"/>
    <w:rsid w:val="0087202A"/>
    <w:rsid w:val="0089284F"/>
    <w:rsid w:val="008C2F92"/>
    <w:rsid w:val="008F6E5F"/>
    <w:rsid w:val="00917791"/>
    <w:rsid w:val="00955A99"/>
    <w:rsid w:val="0096104F"/>
    <w:rsid w:val="00980FDF"/>
    <w:rsid w:val="009B18B2"/>
    <w:rsid w:val="009D06A2"/>
    <w:rsid w:val="00A31DBA"/>
    <w:rsid w:val="00A32DA4"/>
    <w:rsid w:val="00A36794"/>
    <w:rsid w:val="00A93611"/>
    <w:rsid w:val="00AD14F6"/>
    <w:rsid w:val="00B1266D"/>
    <w:rsid w:val="00B1334E"/>
    <w:rsid w:val="00B309DD"/>
    <w:rsid w:val="00B92746"/>
    <w:rsid w:val="00BE78F9"/>
    <w:rsid w:val="00C31E91"/>
    <w:rsid w:val="00C90BE8"/>
    <w:rsid w:val="00CB6D5A"/>
    <w:rsid w:val="00D123B4"/>
    <w:rsid w:val="00D3569C"/>
    <w:rsid w:val="00D710FE"/>
    <w:rsid w:val="00D9379A"/>
    <w:rsid w:val="00DB3F70"/>
    <w:rsid w:val="00DD7802"/>
    <w:rsid w:val="00E2606F"/>
    <w:rsid w:val="00E50C6D"/>
    <w:rsid w:val="00E873C7"/>
    <w:rsid w:val="00EA2998"/>
    <w:rsid w:val="00EA339D"/>
    <w:rsid w:val="00F02AFC"/>
    <w:rsid w:val="00FE0E86"/>
    <w:rsid w:val="00FF0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89437A-7926-426C-9977-6D2E8B98C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A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6B4"/>
  </w:style>
  <w:style w:type="paragraph" w:styleId="Footer">
    <w:name w:val="footer"/>
    <w:basedOn w:val="Normal"/>
    <w:link w:val="FooterChar"/>
    <w:uiPriority w:val="99"/>
    <w:unhideWhenUsed/>
    <w:rsid w:val="000E4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6B4"/>
  </w:style>
  <w:style w:type="character" w:customStyle="1" w:styleId="A4">
    <w:name w:val="A4"/>
    <w:uiPriority w:val="99"/>
    <w:rsid w:val="00060B4D"/>
    <w:rPr>
      <w:color w:val="000000"/>
      <w:sz w:val="20"/>
      <w:szCs w:val="20"/>
    </w:rPr>
  </w:style>
  <w:style w:type="paragraph" w:styleId="ListParagraph">
    <w:name w:val="List Paragraph"/>
    <w:basedOn w:val="Normal"/>
    <w:uiPriority w:val="34"/>
    <w:qFormat/>
    <w:rsid w:val="005C00C2"/>
    <w:pPr>
      <w:ind w:left="720"/>
      <w:contextualSpacing/>
    </w:pPr>
  </w:style>
  <w:style w:type="table" w:styleId="TableGrid">
    <w:name w:val="Table Grid"/>
    <w:basedOn w:val="TableNormal"/>
    <w:uiPriority w:val="39"/>
    <w:rsid w:val="00BE78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5F108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A339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13663C"/>
    <w:rPr>
      <w:sz w:val="16"/>
      <w:szCs w:val="16"/>
    </w:rPr>
  </w:style>
  <w:style w:type="paragraph" w:styleId="CommentText">
    <w:name w:val="annotation text"/>
    <w:basedOn w:val="Normal"/>
    <w:link w:val="CommentTextChar"/>
    <w:uiPriority w:val="99"/>
    <w:semiHidden/>
    <w:unhideWhenUsed/>
    <w:rsid w:val="0013663C"/>
    <w:pPr>
      <w:spacing w:line="240" w:lineRule="auto"/>
    </w:pPr>
    <w:rPr>
      <w:sz w:val="20"/>
      <w:szCs w:val="20"/>
    </w:rPr>
  </w:style>
  <w:style w:type="character" w:customStyle="1" w:styleId="CommentTextChar">
    <w:name w:val="Comment Text Char"/>
    <w:basedOn w:val="DefaultParagraphFont"/>
    <w:link w:val="CommentText"/>
    <w:uiPriority w:val="99"/>
    <w:semiHidden/>
    <w:rsid w:val="0013663C"/>
    <w:rPr>
      <w:sz w:val="20"/>
      <w:szCs w:val="20"/>
    </w:rPr>
  </w:style>
  <w:style w:type="paragraph" w:styleId="CommentSubject">
    <w:name w:val="annotation subject"/>
    <w:basedOn w:val="CommentText"/>
    <w:next w:val="CommentText"/>
    <w:link w:val="CommentSubjectChar"/>
    <w:uiPriority w:val="99"/>
    <w:semiHidden/>
    <w:unhideWhenUsed/>
    <w:rsid w:val="0013663C"/>
    <w:rPr>
      <w:b/>
      <w:bCs/>
    </w:rPr>
  </w:style>
  <w:style w:type="character" w:customStyle="1" w:styleId="CommentSubjectChar">
    <w:name w:val="Comment Subject Char"/>
    <w:basedOn w:val="CommentTextChar"/>
    <w:link w:val="CommentSubject"/>
    <w:uiPriority w:val="99"/>
    <w:semiHidden/>
    <w:rsid w:val="0013663C"/>
    <w:rPr>
      <w:b/>
      <w:bCs/>
      <w:sz w:val="20"/>
      <w:szCs w:val="20"/>
    </w:rPr>
  </w:style>
  <w:style w:type="paragraph" w:styleId="BalloonText">
    <w:name w:val="Balloon Text"/>
    <w:basedOn w:val="Normal"/>
    <w:link w:val="BalloonTextChar"/>
    <w:uiPriority w:val="99"/>
    <w:semiHidden/>
    <w:unhideWhenUsed/>
    <w:rsid w:val="001366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6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614E4-5E4D-4BF0-BBAE-84DF5EA9D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3511</Words>
  <Characters>20019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 kumar</dc:creator>
  <cp:keywords/>
  <dc:description/>
  <cp:lastModifiedBy>arun kumar</cp:lastModifiedBy>
  <cp:revision>4</cp:revision>
  <dcterms:created xsi:type="dcterms:W3CDTF">2014-10-17T04:19:00Z</dcterms:created>
  <dcterms:modified xsi:type="dcterms:W3CDTF">2014-11-03T14:23:00Z</dcterms:modified>
</cp:coreProperties>
</file>